
<file path=[Content_Types].xml><?xml version="1.0" encoding="utf-8"?>
<Types xmlns="http://schemas.openxmlformats.org/package/2006/content-types">
  <Default Extension="vsd" ContentType="application/vnd.visio"/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05"/>
      </w:pPr>
      <w:r>
        <w:t xml:space="preserve">ФЕДЕРАЛЬНОЕ КАЗНАЧЕЙСТВО (КАЗНАЧЕЙСТВО РОССИИ)</w:t>
      </w:r>
      <w:r/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107"/>
            </w:pPr>
            <w:r>
              <w:t xml:space="preserve">УТВЕРЖДАЮ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107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078"/>
            </w:pPr>
            <w:r>
              <w:t xml:space="preserve">От Федерального казначейства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07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  <w:rPr>
                <w:rStyle w:val="1100"/>
              </w:rPr>
            </w:pPr>
            <w:r/>
            <w:r>
              <w:rPr>
                <w:rStyle w:val="1100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>
              <w:rPr>
                <w:rStyle w:val="1100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>
              <w:t xml:space="preserve">«</w:t>
            </w:r>
            <w:r>
              <w:rPr>
                <w:rStyle w:val="1100"/>
              </w:rPr>
              <w:t xml:space="preserve">         </w:t>
            </w:r>
            <w:r>
              <w:t xml:space="preserve">»</w:t>
            </w:r>
            <w:r>
              <w:rPr>
                <w:rStyle w:val="1100"/>
              </w:rPr>
              <w:t xml:space="preserve">                        </w:t>
            </w:r>
            <w:r>
              <w:rPr>
                <w:rStyle w:val="1100"/>
              </w:rPr>
              <w:t xml:space="preserve">            </w:t>
            </w:r>
            <w:r>
              <w:t xml:space="preserve">20</w:t>
            </w:r>
            <w:r>
              <w:rPr>
                <w:rStyle w:val="1100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</w:tr>
    </w:tbl>
    <w:p>
      <w:pPr>
        <w:pStyle w:val="1073"/>
      </w:pPr>
      <w:r/>
      <w:r/>
    </w:p>
    <w:p>
      <w:pPr>
        <w:pStyle w:val="1073"/>
      </w:pPr>
      <w:r/>
      <w:r/>
    </w:p>
    <w:p>
      <w:pPr>
        <w:pStyle w:val="1073"/>
      </w:pPr>
      <w:r/>
      <w:r/>
    </w:p>
    <w:p>
      <w:pPr>
        <w:pStyle w:val="1073"/>
      </w:pPr>
      <w:r/>
      <w:r/>
    </w:p>
    <w:p>
      <w:pPr>
        <w:pStyle w:val="1086"/>
      </w:pPr>
      <w:r>
        <w:t xml:space="preserve">Наименование информационной системы</w:t>
      </w:r>
      <w:r/>
    </w:p>
    <w:p>
      <w:pPr>
        <w:pStyle w:val="1069"/>
      </w:pPr>
      <w:r/>
      <w:r/>
    </w:p>
    <w:p>
      <w:pPr>
        <w:pStyle w:val="1087"/>
      </w:pPr>
      <w:r>
        <w:t xml:space="preserve">Технологический регламент</w:t>
      </w:r>
      <w:r/>
    </w:p>
    <w:p>
      <w:pPr>
        <w:pStyle w:val="1069"/>
      </w:pPr>
      <w:r/>
      <w:r/>
    </w:p>
    <w:p>
      <w:pPr>
        <w:pStyle w:val="1087"/>
      </w:pPr>
      <w:r>
        <w:t xml:space="preserve">Лист утверждения</w:t>
      </w:r>
      <w:r/>
    </w:p>
    <w:p>
      <w:pPr>
        <w:pStyle w:val="1069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1098"/>
        </w:rPr>
        <w:t xml:space="preserve">ТР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1069"/>
      </w:pPr>
      <w:r/>
      <w:r/>
    </w:p>
    <w:p>
      <w:pPr>
        <w:pStyle w:val="1069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1069"/>
      </w:pPr>
      <w:r/>
      <w:r/>
    </w:p>
    <w:p>
      <w:pPr>
        <w:pStyle w:val="1069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107"/>
            </w:pPr>
            <w:r>
              <w:t xml:space="preserve">СОГЛАСОВАНО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107"/>
            </w:pPr>
            <w:r>
              <w:t xml:space="preserve">СОГЛАСОВАНО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1078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1078"/>
            </w:pPr>
            <w:r>
              <w:t xml:space="preserve">От </w:t>
            </w:r>
            <w:r>
              <w:t xml:space="preserve">Организаци</w:t>
            </w:r>
            <w:r>
              <w:t xml:space="preserve">и</w:t>
            </w:r>
            <w:r>
              <w:t xml:space="preserve">-исполнител</w:t>
            </w:r>
            <w:r>
              <w:t xml:space="preserve">я</w:t>
            </w:r>
            <w:r/>
          </w:p>
          <w:p>
            <w:pPr>
              <w:pStyle w:val="107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>
              <w:rPr>
                <w:rStyle w:val="1100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</w:pPr>
            <w:r>
              <w:rPr>
                <w:rStyle w:val="1100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1078"/>
            </w:pPr>
            <w:r>
              <w:t xml:space="preserve">«</w:t>
            </w:r>
            <w:r>
              <w:rPr>
                <w:rStyle w:val="1100"/>
              </w:rPr>
              <w:t xml:space="preserve">         </w:t>
            </w:r>
            <w:r>
              <w:t xml:space="preserve">»</w:t>
            </w:r>
            <w:r>
              <w:rPr>
                <w:rStyle w:val="1100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100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1078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1078"/>
            </w:pPr>
            <w:r>
              <w:t xml:space="preserve">«</w:t>
            </w:r>
            <w:r>
              <w:rPr>
                <w:rStyle w:val="1100"/>
              </w:rPr>
              <w:t xml:space="preserve">         </w:t>
            </w:r>
            <w:r>
              <w:t xml:space="preserve">»</w:t>
            </w:r>
            <w:r>
              <w:rPr>
                <w:rStyle w:val="1100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1100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1069"/>
      </w:pPr>
      <w:r/>
      <w:r/>
    </w:p>
    <w:p>
      <w:pPr>
        <w:pStyle w:val="1069"/>
      </w:pPr>
      <w:r/>
      <w:r/>
    </w:p>
    <w:p>
      <w:r/>
      <w:r/>
    </w:p>
    <w:p>
      <w:pPr>
        <w:sectPr>
          <w:headerReference w:type="default" r:id="rId9"/>
          <w:footerReference w:type="first" r:id="rId11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1105"/>
      </w:pPr>
      <w:r>
        <w:t xml:space="preserve">ФЕДЕРАЛЬНОЕ КАЗНАЧЕЙСТВО (КАЗНАЧЕЙСТВО РОССИИ)</w:t>
      </w:r>
      <w:r/>
    </w:p>
    <w:p>
      <w:r/>
      <w:r/>
    </w:p>
    <w:p>
      <w:r/>
      <w:r/>
    </w:p>
    <w:p>
      <w:pPr>
        <w:pStyle w:val="1107"/>
      </w:pPr>
      <w:r>
        <w:t xml:space="preserve">УТВЕРЖДЕН</w:t>
      </w:r>
      <w:r/>
    </w:p>
    <w:p>
      <w:pPr>
        <w:pStyle w:val="1073"/>
      </w:pPr>
      <w:r>
        <w:t xml:space="preserve">XXXXXXXX.AA.BB,BB.</w:t>
      </w:r>
      <w:r>
        <w:rPr>
          <w:rStyle w:val="1098"/>
        </w:rPr>
        <w:t xml:space="preserve">Т</w:t>
      </w:r>
      <w:r>
        <w:rPr>
          <w:rStyle w:val="1098"/>
        </w:rPr>
        <w:t xml:space="preserve">Р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1073"/>
      </w:pPr>
      <w:r/>
      <w:r/>
    </w:p>
    <w:p>
      <w:pPr>
        <w:pStyle w:val="1073"/>
      </w:pPr>
      <w:r/>
      <w:r/>
    </w:p>
    <w:p>
      <w:pPr>
        <w:pStyle w:val="1073"/>
      </w:pPr>
      <w:r/>
      <w:r/>
    </w:p>
    <w:p>
      <w:pPr>
        <w:pStyle w:val="1073"/>
      </w:pPr>
      <w:r/>
      <w:r/>
    </w:p>
    <w:p>
      <w:pPr>
        <w:pStyle w:val="1073"/>
      </w:pPr>
      <w:r/>
      <w:r/>
    </w:p>
    <w:p>
      <w:pPr>
        <w:pStyle w:val="1086"/>
      </w:pPr>
      <w:r>
        <w:t xml:space="preserve">Наименование информационной системы</w:t>
      </w:r>
      <w:r/>
    </w:p>
    <w:p>
      <w:pPr>
        <w:pStyle w:val="1069"/>
      </w:pPr>
      <w:r/>
      <w:r/>
    </w:p>
    <w:p>
      <w:pPr>
        <w:pStyle w:val="1087"/>
      </w:pPr>
      <w:r>
        <w:t xml:space="preserve">Технологический регламент</w:t>
      </w:r>
      <w:r/>
    </w:p>
    <w:p>
      <w:pPr>
        <w:pStyle w:val="1069"/>
      </w:pPr>
      <w:r/>
      <w:r/>
    </w:p>
    <w:p>
      <w:pPr>
        <w:pStyle w:val="1069"/>
      </w:pPr>
      <w:r>
        <w:t xml:space="preserve">Код документа: XXXXXXXX.AA.BB,BB.</w:t>
      </w:r>
      <w:r>
        <w:rPr>
          <w:rStyle w:val="1098"/>
        </w:rPr>
        <w:t xml:space="preserve">ТР</w:t>
      </w:r>
      <w:r>
        <w:t xml:space="preserve">.DDD-E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1069"/>
      </w:pPr>
      <w:r/>
      <w:r/>
    </w:p>
    <w:p>
      <w:pPr>
        <w:pStyle w:val="1069"/>
      </w:pPr>
      <w:r>
        <w:t xml:space="preserve">Листов: </w:t>
      </w:r>
      <w:r>
        <w:fldChar w:fldCharType="begin"/>
      </w:r>
      <w:r>
        <w:instrText xml:space="preserve"> NUMPAGES   \* MERGEFORMAT </w:instrText>
      </w:r>
      <w:r>
        <w:fldChar w:fldCharType="separate"/>
      </w:r>
      <w:r>
        <w:t xml:space="preserve">12</w:t>
      </w:r>
      <w:r>
        <w:fldChar w:fldCharType="end"/>
      </w:r>
      <w:r/>
    </w:p>
    <w:p>
      <w:pPr>
        <w:pStyle w:val="1069"/>
      </w:pPr>
      <w:r/>
      <w:r/>
    </w:p>
    <w:p>
      <w:pPr>
        <w:pStyle w:val="1069"/>
      </w:pPr>
      <w:r/>
      <w:r/>
    </w:p>
    <w:p>
      <w:pPr>
        <w:pStyle w:val="1069"/>
      </w:pPr>
      <w:r/>
      <w:r/>
    </w:p>
    <w:p>
      <w:pPr>
        <w:pStyle w:val="1069"/>
      </w:pPr>
      <w:r/>
      <w:r/>
    </w:p>
    <w:p>
      <w:pPr>
        <w:pStyle w:val="1069"/>
      </w:pPr>
      <w:r/>
      <w:r/>
    </w:p>
    <w:p>
      <w:pPr>
        <w:pStyle w:val="1069"/>
      </w:pPr>
      <w:r/>
      <w:r/>
    </w:p>
    <w:p>
      <w:pPr>
        <w:pStyle w:val="1069"/>
      </w:pPr>
      <w:r/>
      <w:r/>
    </w:p>
    <w:p>
      <w:pPr>
        <w:pStyle w:val="1043"/>
      </w:pPr>
      <w:r/>
      <w:bookmarkStart w:id="1" w:name="_Toc82602001"/>
      <w:r>
        <w:br w:type="page" w:clear="all"/>
      </w:r>
      <w:bookmarkEnd w:id="1"/>
      <w:r>
        <w:t xml:space="preserve">Аннотация</w:t>
      </w:r>
      <w:r/>
    </w:p>
    <w:p>
      <w:pPr>
        <w:pStyle w:val="1073"/>
      </w:pPr>
      <w:r>
        <w:t xml:space="preserve">В аннотации указывают издание программы, кратко излагают назначение и содержание документа. Если документ состоит из нескольких частей, в аннотации указывают общее количество частей.</w:t>
      </w:r>
      <w:r/>
    </w:p>
    <w:p>
      <w:pPr>
        <w:pStyle w:val="1073"/>
        <w:rPr>
          <w:rStyle w:val="1112"/>
        </w:rPr>
      </w:pPr>
      <w:r>
        <w:rPr>
          <w:rStyle w:val="1112"/>
        </w:rPr>
        <w:t xml:space="preserve">Настоящий документ устанавливает последовательность выполнения операций с использованием &lt;указываются информационные сис</w:t>
      </w:r>
      <w:r>
        <w:rPr>
          <w:rStyle w:val="1112"/>
        </w:rPr>
        <w:t xml:space="preserve">темы&gt; специалистами Федерального казначейства &lt;указывается в случае наличия специалистов Федерального казначейства в участниках процесса&gt;, органов Федерального казначейства при осуществлении операций в процессе &lt;указываются описываемые процессы&gt;. К участни</w:t>
      </w:r>
      <w:r>
        <w:rPr>
          <w:rStyle w:val="1112"/>
        </w:rPr>
        <w:t xml:space="preserve">кам процесса в рамках настоящего документа относятся также специалисты Федерального казначейства &lt;указывается в случае наличия специалистов Федерального казначейства в участниках процесса&gt;, органов Федерального казначейства, не выполняющие операций в прикл</w:t>
      </w:r>
      <w:r>
        <w:rPr>
          <w:rStyle w:val="1112"/>
        </w:rPr>
        <w:t xml:space="preserve">адном программном обеспечении, однако взаимодействующие с другими участниками процесса в соответствии с порядком внутреннего взаимодействия, закрепленного локальными актами Федерального казначейства, органов Федерального казначейства или иными документами.</w:t>
      </w:r>
      <w:r>
        <w:rPr>
          <w:rStyle w:val="1112"/>
        </w:rPr>
      </w:r>
    </w:p>
    <w:p>
      <w:pPr>
        <w:pStyle w:val="1073"/>
        <w:rPr>
          <w:rStyle w:val="1112"/>
        </w:rPr>
      </w:pPr>
      <w:r>
        <w:rPr>
          <w:rStyle w:val="1112"/>
        </w:rPr>
        <w:t xml:space="preserve">Настоящий документ включает Технологический регламент и приложение к</w:t>
      </w:r>
      <w:r>
        <w:rPr>
          <w:rStyle w:val="1112"/>
        </w:rPr>
        <w:t xml:space="preserve"> нему в виде Технологической карты, содержащей структурированный перечень операций, выполняемых в рамках описываемых процессов, и перечень ролей специалистов с учетом соответствия полномочиям в &lt;указываются информационные системы&gt; по выполняемым операциям.</w:t>
      </w:r>
      <w:r>
        <w:rPr>
          <w:rStyle w:val="1112"/>
        </w:rPr>
      </w:r>
    </w:p>
    <w:p>
      <w:pPr>
        <w:pStyle w:val="1073"/>
        <w:rPr>
          <w:rStyle w:val="1112"/>
        </w:rPr>
      </w:pPr>
      <w:r>
        <w:rPr>
          <w:rStyle w:val="1112"/>
        </w:rPr>
        <w:t xml:space="preserve">Настоящий документ </w:t>
      </w:r>
      <w:r>
        <w:rPr>
          <w:rStyle w:val="1112"/>
        </w:rPr>
        <w:t xml:space="preserve">должен разрабатываться </w:t>
      </w:r>
      <w:r>
        <w:rPr>
          <w:rStyle w:val="1112"/>
        </w:rPr>
        <w:t xml:space="preserve">в соответствии с требованиями ГОСТ 34.201-2020 «Виды, комплектность и обозначение документов при создании автоматизированных систем» </w:t>
      </w:r>
      <w:r>
        <w:rPr>
          <w:rStyle w:val="1112"/>
        </w:rPr>
        <w:t xml:space="preserve">в части требований к следующей техно-рабочей документации: схема организационной структуры, описание организационной структуры, технологическая инструкция, описание технологического процесса обработки данных (включая телеобработку)</w:t>
      </w:r>
      <w:r>
        <w:rPr>
          <w:rStyle w:val="1112"/>
        </w:rPr>
        <w:t xml:space="preserve">»</w:t>
      </w:r>
      <w:r>
        <w:rPr>
          <w:rStyle w:val="1112"/>
        </w:rPr>
        <w:t xml:space="preserve"> </w:t>
      </w:r>
      <w:r>
        <w:rPr>
          <w:rStyle w:val="1112"/>
        </w:rPr>
        <w:t xml:space="preserve">и доработан </w:t>
      </w:r>
      <w:r>
        <w:rPr>
          <w:rStyle w:val="1112"/>
        </w:rPr>
        <w:t xml:space="preserve">на основании </w:t>
      </w:r>
      <w:r>
        <w:rPr>
          <w:rStyle w:val="1112"/>
        </w:rPr>
        <w:t xml:space="preserve">&lt;указываются </w:t>
      </w:r>
      <w:r>
        <w:rPr>
          <w:rStyle w:val="1112"/>
        </w:rPr>
        <w:t xml:space="preserve">Т</w:t>
      </w:r>
      <w:r>
        <w:rPr>
          <w:rStyle w:val="1112"/>
        </w:rPr>
        <w:t xml:space="preserve">ехнические задания, на основании которых осуществлялась доработки документа для передачи с версией прикладного программного обеспечения&gt;</w:t>
      </w:r>
      <w:r>
        <w:rPr>
          <w:rStyle w:val="1112"/>
        </w:rPr>
        <w:footnoteReference w:id="2"/>
      </w:r>
      <w:r>
        <w:rPr>
          <w:rStyle w:val="1112"/>
        </w:rPr>
      </w:r>
    </w:p>
    <w:p>
      <w:pPr>
        <w:pStyle w:val="1073"/>
        <w:rPr>
          <w:rStyle w:val="1112"/>
        </w:rPr>
      </w:pPr>
      <w:r>
        <w:rPr>
          <w:rStyle w:val="1112"/>
        </w:rPr>
        <w:t xml:space="preserve">Описание разделов Технологического регламента должно с</w:t>
      </w:r>
      <w:r>
        <w:rPr>
          <w:rStyle w:val="1112"/>
        </w:rPr>
        <w:t xml:space="preserve">оответств</w:t>
      </w:r>
      <w:r>
        <w:rPr>
          <w:rStyle w:val="1112"/>
        </w:rPr>
        <w:t xml:space="preserve">овать тре</w:t>
      </w:r>
      <w:r>
        <w:rPr>
          <w:rStyle w:val="1112"/>
        </w:rPr>
        <w:t xml:space="preserve">бованиям, предъявляемым </w:t>
      </w:r>
      <w:r>
        <w:rPr>
          <w:rStyle w:val="1112"/>
        </w:rPr>
        <w:t xml:space="preserve">к техно</w:t>
      </w:r>
      <w:r>
        <w:rPr>
          <w:rStyle w:val="1112"/>
        </w:rPr>
        <w:t xml:space="preserve">-рабочей документации (ГОСТ 34.201-2020</w:t>
      </w:r>
      <w:r>
        <w:rPr>
          <w:rStyle w:val="1112"/>
        </w:rPr>
        <w:t xml:space="preserve"> «Виды, комплектность и обозначение документов при создании автоматизированных систем» в части требований к следующей техно-рабочей документации: схема организационной структуры, описание организационной </w:t>
      </w:r>
      <w:r>
        <w:rPr>
          <w:rStyle w:val="1112"/>
        </w:rPr>
        <w:t xml:space="preserve">структуры, технологическая инструкция, описание технологического процесса обработки данных (включая телеобработку)»</w:t>
      </w:r>
      <w:r>
        <w:rPr>
          <w:rStyle w:val="1112"/>
        </w:rPr>
        <w:t xml:space="preserve">) </w:t>
      </w:r>
      <w:r>
        <w:rPr>
          <w:rStyle w:val="1112"/>
        </w:rPr>
        <w:t xml:space="preserve">по </w:t>
      </w:r>
      <w:r>
        <w:rPr>
          <w:rStyle w:val="1112"/>
        </w:rPr>
        <w:t xml:space="preserve">приведен</w:t>
      </w:r>
      <w:r>
        <w:rPr>
          <w:rStyle w:val="1112"/>
        </w:rPr>
        <w:t xml:space="preserve">н</w:t>
      </w:r>
      <w:r>
        <w:rPr>
          <w:rStyle w:val="1112"/>
        </w:rPr>
        <w:t xml:space="preserve">о</w:t>
      </w:r>
      <w:r>
        <w:rPr>
          <w:rStyle w:val="1112"/>
        </w:rPr>
        <w:t xml:space="preserve">й</w:t>
      </w:r>
      <w:r>
        <w:rPr>
          <w:rStyle w:val="1112"/>
        </w:rPr>
        <w:t xml:space="preserve"> в таблице:</w:t>
      </w:r>
      <w:r>
        <w:rPr>
          <w:rStyle w:val="1112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53"/>
        <w:gridCol w:w="4674"/>
      </w:tblGrid>
      <w:tr>
        <w:tblPrEx/>
        <w:trPr>
          <w:trHeight w:val="66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19" w:type="dxa"/>
            <w:vAlign w:val="center"/>
            <w:textDirection w:val="lrTb"/>
            <w:noWrap w:val="false"/>
          </w:tcPr>
          <w:p>
            <w:pPr>
              <w:pStyle w:val="1093"/>
              <w:rPr>
                <w:rStyle w:val="1112"/>
              </w:rPr>
            </w:pPr>
            <w:r>
              <w:rPr>
                <w:rStyle w:val="1112"/>
              </w:rPr>
              <w:t xml:space="preserve">Техно-рабочая документация</w:t>
            </w:r>
            <w:r>
              <w:rPr>
                <w:rStyle w:val="1112"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32" w:type="dxa"/>
            <w:vAlign w:val="center"/>
            <w:textDirection w:val="lrTb"/>
            <w:noWrap w:val="false"/>
          </w:tcPr>
          <w:p>
            <w:pPr>
              <w:pStyle w:val="1093"/>
              <w:rPr>
                <w:rStyle w:val="1112"/>
              </w:rPr>
            </w:pPr>
            <w:r>
              <w:rPr>
                <w:rStyle w:val="1112"/>
              </w:rPr>
              <w:t xml:space="preserve">Раздел Технологического регламента</w:t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shd w:val="clear" w:color="auto" w:fill="auto"/>
            <w:tcW w:w="5019" w:type="dxa"/>
            <w:textDirection w:val="lrTb"/>
            <w:noWrap w:val="false"/>
          </w:tcPr>
          <w:p>
            <w:pPr>
              <w:pStyle w:val="1093"/>
              <w:rPr>
                <w:rStyle w:val="1112"/>
              </w:rPr>
            </w:pPr>
            <w:r>
              <w:rPr>
                <w:rStyle w:val="1112"/>
              </w:rPr>
              <w:t xml:space="preserve">Технологическая инструкция</w:t>
            </w:r>
            <w:r>
              <w:rPr>
                <w:rStyle w:val="1112"/>
              </w:rPr>
            </w:r>
          </w:p>
        </w:tc>
        <w:tc>
          <w:tcPr>
            <w:shd w:val="clear" w:color="auto" w:fill="auto"/>
            <w:tcW w:w="4732" w:type="dxa"/>
            <w:textDirection w:val="lrTb"/>
            <w:noWrap w:val="false"/>
          </w:tcPr>
          <w:p>
            <w:pPr>
              <w:jc w:val="left"/>
              <w:rPr>
                <w:rStyle w:val="1112"/>
              </w:rPr>
            </w:pPr>
            <w:r>
              <w:rPr>
                <w:rStyle w:val="1112"/>
              </w:rPr>
              <w:t xml:space="preserve">1. Общие положения</w:t>
            </w:r>
            <w:r>
              <w:rPr>
                <w:rStyle w:val="1112"/>
              </w:rPr>
            </w:r>
          </w:p>
          <w:p>
            <w:pPr>
              <w:jc w:val="left"/>
              <w:rPr>
                <w:rStyle w:val="1112"/>
              </w:rPr>
            </w:pPr>
            <w:r>
              <w:rPr>
                <w:rStyle w:val="1112"/>
              </w:rPr>
              <w:t xml:space="preserve">2. Основные понятия</w:t>
            </w:r>
            <w:r>
              <w:rPr>
                <w:rStyle w:val="1112"/>
              </w:rPr>
            </w:r>
          </w:p>
          <w:p>
            <w:pPr>
              <w:jc w:val="left"/>
              <w:rPr>
                <w:rStyle w:val="1112"/>
              </w:rPr>
            </w:pPr>
            <w:r>
              <w:rPr>
                <w:rStyle w:val="1112"/>
              </w:rPr>
              <w:t xml:space="preserve">3. Диаграмма процесса</w:t>
            </w:r>
            <w:r>
              <w:rPr>
                <w:rStyle w:val="1112"/>
              </w:rPr>
            </w:r>
          </w:p>
          <w:p>
            <w:pPr>
              <w:jc w:val="left"/>
              <w:rPr>
                <w:rStyle w:val="1112"/>
              </w:rPr>
            </w:pPr>
            <w:r>
              <w:rPr>
                <w:rStyle w:val="1112"/>
              </w:rPr>
              <w:t xml:space="preserve">4. Краткое описание процесса</w:t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shd w:val="clear" w:color="auto" w:fill="auto"/>
            <w:tcW w:w="5019" w:type="dxa"/>
            <w:textDirection w:val="lrTb"/>
            <w:noWrap w:val="false"/>
          </w:tcPr>
          <w:p>
            <w:pPr>
              <w:pStyle w:val="1093"/>
              <w:rPr>
                <w:rStyle w:val="1112"/>
              </w:rPr>
            </w:pPr>
            <w:r>
              <w:rPr>
                <w:rStyle w:val="1112"/>
              </w:rPr>
              <w:t xml:space="preserve">Схема организационной структуры</w:t>
            </w:r>
            <w:r>
              <w:rPr>
                <w:rStyle w:val="1112"/>
              </w:rPr>
            </w:r>
          </w:p>
        </w:tc>
        <w:tc>
          <w:tcPr>
            <w:shd w:val="clear" w:color="auto" w:fill="auto"/>
            <w:tcW w:w="4732" w:type="dxa"/>
            <w:vMerge w:val="restart"/>
            <w:textDirection w:val="lrTb"/>
            <w:noWrap w:val="false"/>
          </w:tcPr>
          <w:p>
            <w:pPr>
              <w:rPr>
                <w:rStyle w:val="1112"/>
              </w:rPr>
            </w:pPr>
            <w:r>
              <w:rPr>
                <w:rStyle w:val="1112"/>
              </w:rPr>
              <w:t xml:space="preserve">2. Основные понятия</w:t>
            </w:r>
            <w:r>
              <w:rPr>
                <w:rStyle w:val="1112"/>
              </w:rPr>
            </w:r>
          </w:p>
          <w:p>
            <w:pPr>
              <w:rPr>
                <w:rStyle w:val="1112"/>
              </w:rPr>
            </w:pPr>
            <w:r>
              <w:rPr>
                <w:rStyle w:val="1112"/>
              </w:rPr>
              <w:t xml:space="preserve">3. Диаграмма процесса</w:t>
            </w:r>
            <w:r>
              <w:rPr>
                <w:rStyle w:val="1112"/>
              </w:rPr>
            </w:r>
          </w:p>
          <w:p>
            <w:pPr>
              <w:rPr>
                <w:rStyle w:val="1112"/>
              </w:rPr>
            </w:pPr>
            <w:r>
              <w:rPr>
                <w:rStyle w:val="1112"/>
              </w:rPr>
              <w:t xml:space="preserve">4. Краткое описание процесса</w:t>
            </w:r>
            <w:r>
              <w:rPr>
                <w:rStyle w:val="1112"/>
              </w:rPr>
            </w:r>
          </w:p>
          <w:p>
            <w:pPr>
              <w:rPr>
                <w:rStyle w:val="1112"/>
              </w:rPr>
            </w:pPr>
            <w:r>
              <w:rPr>
                <w:rStyle w:val="1112"/>
              </w:rPr>
              <w:t xml:space="preserve">5. Технологическая карта</w:t>
            </w:r>
            <w:r>
              <w:rPr>
                <w:rStyle w:val="1112"/>
              </w:rPr>
            </w:r>
          </w:p>
        </w:tc>
      </w:tr>
      <w:tr>
        <w:tblPrEx/>
        <w:trPr/>
        <w:tc>
          <w:tcPr>
            <w:shd w:val="clear" w:color="auto" w:fill="auto"/>
            <w:tcW w:w="5019" w:type="dxa"/>
            <w:textDirection w:val="lrTb"/>
            <w:noWrap w:val="false"/>
          </w:tcPr>
          <w:p>
            <w:pPr>
              <w:pStyle w:val="1093"/>
              <w:rPr>
                <w:rStyle w:val="1112"/>
              </w:rPr>
            </w:pPr>
            <w:r>
              <w:rPr>
                <w:rStyle w:val="1112"/>
              </w:rPr>
              <w:t xml:space="preserve">Описание организационной структуры</w:t>
            </w:r>
            <w:r>
              <w:rPr>
                <w:rStyle w:val="1112"/>
              </w:rPr>
            </w:r>
          </w:p>
        </w:tc>
        <w:tc>
          <w:tcPr>
            <w:shd w:val="clear" w:color="auto" w:fill="auto"/>
            <w:tcW w:w="4732" w:type="dxa"/>
            <w:vMerge w:val="continue"/>
            <w:textDirection w:val="lrTb"/>
            <w:noWrap w:val="false"/>
          </w:tcPr>
          <w:p>
            <w:pPr>
              <w:jc w:val="left"/>
              <w:rPr>
                <w:rStyle w:val="1112"/>
              </w:rPr>
            </w:pPr>
            <w:r/>
            <w:r>
              <w:rPr>
                <w:rStyle w:val="1112"/>
              </w:rPr>
            </w:r>
          </w:p>
        </w:tc>
      </w:tr>
      <w:tr>
        <w:tblPrEx/>
        <w:trPr/>
        <w:tc>
          <w:tcPr>
            <w:shd w:val="clear" w:color="auto" w:fill="auto"/>
            <w:tcW w:w="5019" w:type="dxa"/>
            <w:textDirection w:val="lrTb"/>
            <w:noWrap w:val="false"/>
          </w:tcPr>
          <w:p>
            <w:pPr>
              <w:pStyle w:val="1093"/>
              <w:rPr>
                <w:rStyle w:val="1112"/>
              </w:rPr>
            </w:pPr>
            <w:r>
              <w:rPr>
                <w:rStyle w:val="1112"/>
              </w:rPr>
              <w:t xml:space="preserve">Описание технологического процесса обработки данных (включая телеобработку)</w:t>
            </w:r>
            <w:r>
              <w:rPr>
                <w:rStyle w:val="1112"/>
              </w:rPr>
            </w:r>
          </w:p>
        </w:tc>
        <w:tc>
          <w:tcPr>
            <w:shd w:val="clear" w:color="auto" w:fill="auto"/>
            <w:tcW w:w="4732" w:type="dxa"/>
            <w:textDirection w:val="lrTb"/>
            <w:noWrap w:val="false"/>
          </w:tcPr>
          <w:p>
            <w:pPr>
              <w:rPr>
                <w:rStyle w:val="1112"/>
              </w:rPr>
            </w:pPr>
            <w:r>
              <w:rPr>
                <w:rStyle w:val="1112"/>
              </w:rPr>
              <w:t xml:space="preserve">5. Технологическая карта</w:t>
            </w:r>
            <w:r>
              <w:rPr>
                <w:rStyle w:val="1112"/>
              </w:rPr>
            </w:r>
          </w:p>
        </w:tc>
      </w:tr>
    </w:tbl>
    <w:p>
      <w:pPr>
        <w:pStyle w:val="1073"/>
      </w:pPr>
      <w:r/>
      <w:r/>
    </w:p>
    <w:p>
      <w:pPr>
        <w:pStyle w:val="1073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1073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1073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1073"/>
        <w:ind w:firstLine="709"/>
      </w:pPr>
      <w:r>
        <w:t xml:space="preserve">Перечень области применения документа:</w:t>
      </w:r>
      <w:r/>
    </w:p>
    <w:p>
      <w:pPr>
        <w:pStyle w:val="1073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</w:t>
      </w:r>
      <w:r/>
    </w:p>
    <w:p>
      <w:pPr>
        <w:pStyle w:val="1043"/>
      </w:pPr>
      <w:r>
        <w:br w:type="page" w:clear="all"/>
      </w:r>
      <w:r>
        <w:t xml:space="preserve">Перечень таблиц</w:t>
      </w:r>
      <w:r/>
    </w:p>
    <w:p>
      <w:pPr>
        <w:pStyle w:val="1073"/>
      </w:pPr>
      <w:r>
        <w:fldChar w:fldCharType="begin"/>
      </w:r>
      <w:r>
        <w:instrText xml:space="preserve"> TOC \h \z \c "Табл."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rPr>
          <w:b/>
          <w:bCs/>
        </w:rPr>
        <w:fldChar w:fldCharType="end"/>
      </w:r>
      <w:r/>
    </w:p>
    <w:p>
      <w:pPr>
        <w:pStyle w:val="1043"/>
      </w:pPr>
      <w:r>
        <w:t xml:space="preserve">Перечень рисунков</w:t>
      </w:r>
      <w:r/>
    </w:p>
    <w:p>
      <w:pPr>
        <w:pStyle w:val="1073"/>
      </w:pPr>
      <w:r>
        <w:fldChar w:fldCharType="begin"/>
      </w:r>
      <w:r>
        <w:instrText xml:space="preserve"> TOC \h \z \c "Рис." </w:instrText>
      </w:r>
      <w:r>
        <w:fldChar w:fldCharType="separate"/>
      </w:r>
      <w:r>
        <w:rPr>
          <w:b/>
          <w:bCs/>
        </w:rPr>
        <w:t xml:space="preserve">Элементы списка иллюстраций не найдены.</w:t>
      </w:r>
      <w:r>
        <w:rPr>
          <w:b/>
          <w:bCs/>
        </w:rPr>
        <w:fldChar w:fldCharType="end"/>
      </w:r>
      <w:r/>
    </w:p>
    <w:p>
      <w:pPr>
        <w:pStyle w:val="1073"/>
      </w:pPr>
      <w:r/>
      <w:r/>
    </w:p>
    <w:p>
      <w:pPr>
        <w:pStyle w:val="1018"/>
        <w:numPr>
          <w:ilvl w:val="0"/>
          <w:numId w:val="0"/>
        </w:numPr>
        <w:ind w:left="709"/>
        <w:tabs>
          <w:tab w:val="left" w:pos="708" w:leader="none"/>
        </w:tabs>
      </w:pPr>
      <w:r>
        <w:t xml:space="preserve">Перечень ссылочных документов</w:t>
      </w:r>
      <w:r/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4"/>
        <w:gridCol w:w="2933"/>
        <w:gridCol w:w="850"/>
        <w:gridCol w:w="2512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1119"/>
              <w:numPr>
                <w:ilvl w:val="0"/>
                <w:numId w:val="61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1119"/>
            </w:pPr>
            <w:r/>
            <w:r/>
          </w:p>
        </w:tc>
      </w:tr>
    </w:tbl>
    <w:p>
      <w:r/>
      <w:r/>
    </w:p>
    <w:p>
      <w:pPr>
        <w:pStyle w:val="1043"/>
      </w:pPr>
      <w:r>
        <w:br w:type="page" w:clear="all"/>
      </w:r>
      <w:r>
        <w:t xml:space="preserve">Содержание</w:t>
      </w:r>
      <w:r>
        <w:fldChar w:fldCharType="begin"/>
      </w:r>
      <w:r>
        <w:instrText xml:space="preserve"> TOC \h \z \t "Заголовок 1;1;Заголовок 2;2;Заголовок 3;3;Заголовок приложения;1" </w:instrText>
      </w:r>
      <w:r>
        <w:fldChar w:fldCharType="separate"/>
      </w:r>
      <w:r/>
    </w:p>
    <w:p>
      <w:pPr>
        <w:pStyle w:val="1049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73044446" w:anchor="_Toc473044446" w:history="1">
        <w:r>
          <w:t xml:space="preserve">1 Общие положения</w:t>
        </w:r>
        <w:r>
          <w:tab/>
        </w:r>
        <w:r>
          <w:fldChar w:fldCharType="begin"/>
        </w:r>
        <w:r>
          <w:instrText xml:space="preserve"> PAGEREF _Toc473044446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1050"/>
        <w:rPr>
          <w:rFonts w:ascii="Calibri" w:hAnsi="Calibri"/>
          <w:sz w:val="22"/>
          <w:szCs w:val="22"/>
        </w:rPr>
      </w:pPr>
      <w:r/>
      <w:hyperlink w:tooltip="#_Toc473044447" w:anchor="_Toc473044447" w:history="1">
        <w:r>
          <w:t xml:space="preserve">1.1 Список принятых сокращений</w:t>
        </w:r>
        <w:r>
          <w:tab/>
        </w:r>
        <w:r>
          <w:fldChar w:fldCharType="begin"/>
        </w:r>
        <w:r>
          <w:instrText xml:space="preserve"> PAGEREF _Toc473044447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="Calibri" w:hAnsi="Calibri"/>
          <w:sz w:val="22"/>
          <w:szCs w:val="22"/>
        </w:rPr>
      </w:r>
    </w:p>
    <w:p>
      <w:pPr>
        <w:pStyle w:val="1050"/>
        <w:rPr>
          <w:rFonts w:ascii="Calibri" w:hAnsi="Calibri"/>
          <w:sz w:val="22"/>
          <w:szCs w:val="22"/>
        </w:rPr>
      </w:pPr>
      <w:r/>
      <w:hyperlink w:tooltip="#_Toc473044448" w:anchor="_Toc473044448" w:history="1">
        <w:r>
          <w:t xml:space="preserve">1.2 Список принятых обозначений</w:t>
        </w:r>
        <w:r>
          <w:tab/>
        </w:r>
        <w:r>
          <w:fldChar w:fldCharType="begin"/>
        </w:r>
        <w:r>
          <w:instrText xml:space="preserve"> PAGEREF _Toc473044448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="Calibri" w:hAnsi="Calibri"/>
          <w:sz w:val="22"/>
          <w:szCs w:val="22"/>
        </w:rPr>
      </w:r>
    </w:p>
    <w:p>
      <w:pPr>
        <w:pStyle w:val="1050"/>
        <w:rPr>
          <w:rFonts w:ascii="Calibri" w:hAnsi="Calibri"/>
          <w:sz w:val="22"/>
          <w:szCs w:val="22"/>
        </w:rPr>
      </w:pPr>
      <w:r/>
      <w:hyperlink w:tooltip="#_Toc473044449" w:anchor="_Toc473044449" w:history="1">
        <w:r>
          <w:t xml:space="preserve">1.3 Назначение документа</w:t>
        </w:r>
        <w:r>
          <w:tab/>
        </w:r>
        <w:r>
          <w:fldChar w:fldCharType="begin"/>
        </w:r>
        <w:r>
          <w:instrText xml:space="preserve"> PAGEREF _Toc473044449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="Calibri" w:hAnsi="Calibri"/>
          <w:sz w:val="22"/>
          <w:szCs w:val="22"/>
        </w:rPr>
      </w:r>
    </w:p>
    <w:p>
      <w:pPr>
        <w:pStyle w:val="1049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73044450" w:anchor="_Toc473044450" w:history="1">
        <w:r>
          <w:t xml:space="preserve">2 Основные понятия</w:t>
        </w:r>
        <w:r>
          <w:tab/>
        </w:r>
        <w:r>
          <w:fldChar w:fldCharType="begin"/>
        </w:r>
        <w:r>
          <w:instrText xml:space="preserve"> PAGEREF _Toc473044450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1050"/>
        <w:rPr>
          <w:rFonts w:ascii="Calibri" w:hAnsi="Calibri"/>
          <w:sz w:val="22"/>
          <w:szCs w:val="22"/>
        </w:rPr>
      </w:pPr>
      <w:r/>
      <w:hyperlink w:tooltip="#_Toc473044451" w:anchor="_Toc473044451" w:history="1">
        <w:r>
          <w:t xml:space="preserve">2.1 Участники процесса</w:t>
        </w:r>
        <w:r>
          <w:tab/>
        </w:r>
        <w:r>
          <w:fldChar w:fldCharType="begin"/>
        </w:r>
        <w:r>
          <w:instrText xml:space="preserve"> PAGEREF _Toc473044451 \h </w:instrText>
        </w:r>
        <w:r/>
        <w:r>
          <w:fldChar w:fldCharType="separate"/>
        </w:r>
        <w:r>
          <w:t xml:space="preserve">5</w:t>
        </w:r>
        <w:r>
          <w:fldChar w:fldCharType="end"/>
        </w:r>
      </w:hyperlink>
      <w:r/>
      <w:r>
        <w:rPr>
          <w:rFonts w:ascii="Calibri" w:hAnsi="Calibri"/>
          <w:sz w:val="22"/>
          <w:szCs w:val="22"/>
        </w:rPr>
      </w:r>
    </w:p>
    <w:p>
      <w:pPr>
        <w:pStyle w:val="1050"/>
        <w:rPr>
          <w:rFonts w:ascii="Calibri" w:hAnsi="Calibri"/>
          <w:sz w:val="22"/>
          <w:szCs w:val="22"/>
        </w:rPr>
      </w:pPr>
      <w:r/>
      <w:hyperlink w:tooltip="#_Toc473044452" w:anchor="_Toc473044452" w:history="1">
        <w:r>
          <w:t xml:space="preserve">2.2 Документы, регламентирующие данный процесс</w:t>
        </w:r>
        <w:r>
          <w:tab/>
        </w:r>
        <w:r>
          <w:fldChar w:fldCharType="begin"/>
        </w:r>
        <w:r>
          <w:instrText xml:space="preserve"> PAGEREF _Toc473044452 \h </w:instrText>
        </w:r>
        <w:r/>
        <w:r>
          <w:fldChar w:fldCharType="separate"/>
        </w:r>
        <w:r>
          <w:t xml:space="preserve">6</w:t>
        </w:r>
        <w:r>
          <w:fldChar w:fldCharType="end"/>
        </w:r>
      </w:hyperlink>
      <w:r/>
      <w:r>
        <w:rPr>
          <w:rFonts w:ascii="Calibri" w:hAnsi="Calibri"/>
          <w:sz w:val="22"/>
          <w:szCs w:val="22"/>
        </w:rPr>
      </w:r>
    </w:p>
    <w:p>
      <w:pPr>
        <w:pStyle w:val="1050"/>
        <w:rPr>
          <w:rFonts w:ascii="Calibri" w:hAnsi="Calibri"/>
          <w:sz w:val="22"/>
          <w:szCs w:val="22"/>
        </w:rPr>
      </w:pPr>
      <w:r/>
      <w:hyperlink w:tooltip="#_Toc473044453" w:anchor="_Toc473044453" w:history="1">
        <w:r>
          <w:t xml:space="preserve">2.3 Документооборот</w:t>
        </w:r>
        <w:r>
          <w:tab/>
        </w:r>
        <w:r>
          <w:fldChar w:fldCharType="begin"/>
        </w:r>
        <w:r>
          <w:instrText xml:space="preserve"> PAGEREF _Toc473044453 \h </w:instrText>
        </w:r>
        <w:r/>
        <w:r>
          <w:fldChar w:fldCharType="separate"/>
        </w:r>
        <w:r>
          <w:t xml:space="preserve">6</w:t>
        </w:r>
        <w:r>
          <w:fldChar w:fldCharType="end"/>
        </w:r>
      </w:hyperlink>
      <w:r/>
      <w:r>
        <w:rPr>
          <w:rFonts w:ascii="Calibri" w:hAnsi="Calibri"/>
          <w:sz w:val="22"/>
          <w:szCs w:val="22"/>
        </w:rPr>
      </w:r>
    </w:p>
    <w:p>
      <w:pPr>
        <w:pStyle w:val="1050"/>
        <w:rPr>
          <w:rFonts w:ascii="Calibri" w:hAnsi="Calibri"/>
          <w:sz w:val="22"/>
          <w:szCs w:val="22"/>
        </w:rPr>
      </w:pPr>
      <w:r/>
      <w:hyperlink w:tooltip="#_Toc473044454" w:anchor="_Toc473044454" w:history="1">
        <w:r>
          <w:t xml:space="preserve">2.4 Используемое ППО</w:t>
        </w:r>
        <w:r>
          <w:tab/>
        </w:r>
        <w:r>
          <w:fldChar w:fldCharType="begin"/>
        </w:r>
        <w:r>
          <w:instrText xml:space="preserve"> PAGEREF _Toc473044454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sz w:val="22"/>
          <w:szCs w:val="22"/>
        </w:rPr>
      </w:r>
    </w:p>
    <w:p>
      <w:pPr>
        <w:pStyle w:val="1050"/>
        <w:rPr>
          <w:rFonts w:ascii="Calibri" w:hAnsi="Calibri"/>
          <w:sz w:val="22"/>
          <w:szCs w:val="22"/>
        </w:rPr>
      </w:pPr>
      <w:r/>
      <w:hyperlink w:tooltip="#_Toc473044455" w:anchor="_Toc473044455" w:history="1">
        <w:r>
          <w:t xml:space="preserve">2.5 Используемая документация</w:t>
        </w:r>
        <w:r>
          <w:tab/>
        </w:r>
        <w:r>
          <w:fldChar w:fldCharType="begin"/>
        </w:r>
        <w:r>
          <w:instrText xml:space="preserve"> PAGEREF _Toc473044455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sz w:val="22"/>
          <w:szCs w:val="22"/>
        </w:rPr>
      </w:r>
    </w:p>
    <w:p>
      <w:pPr>
        <w:pStyle w:val="1049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73044456" w:anchor="_Toc473044456" w:history="1">
        <w:r>
          <w:t xml:space="preserve">3 Диаграмма процесса</w:t>
        </w:r>
        <w:r>
          <w:tab/>
        </w:r>
        <w:r>
          <w:fldChar w:fldCharType="begin"/>
        </w:r>
        <w:r>
          <w:instrText xml:space="preserve"> PAGEREF _Toc473044456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1049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73044457" w:anchor="_Toc473044457" w:history="1">
        <w:r>
          <w:t xml:space="preserve">4 Краткое описание процесса</w:t>
        </w:r>
        <w:r>
          <w:tab/>
        </w:r>
        <w:r>
          <w:fldChar w:fldCharType="begin"/>
        </w:r>
        <w:r>
          <w:instrText xml:space="preserve"> PAGEREF _Toc473044457 \h </w:instrText>
        </w:r>
        <w:r/>
        <w:r>
          <w:fldChar w:fldCharType="separate"/>
        </w:r>
        <w:r>
          <w:t xml:space="preserve">8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1049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73044458" w:anchor="_Toc473044458" w:history="1">
        <w:r>
          <w:t xml:space="preserve">5 Технологическая карта</w:t>
        </w:r>
        <w:r>
          <w:tab/>
        </w:r>
        <w:r>
          <w:fldChar w:fldCharType="begin"/>
        </w:r>
        <w:r>
          <w:instrText xml:space="preserve"> PAGEREF _Toc473044458 \h </w:instrText>
        </w:r>
        <w:r/>
        <w:r>
          <w:fldChar w:fldCharType="separate"/>
        </w:r>
        <w:r>
          <w:t xml:space="preserve">8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1049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73044459" w:anchor="_Toc473044459" w:history="1">
        <w:r>
          <w:t xml:space="preserve">Приложение 1.  Технологическая карта</w:t>
        </w:r>
        <w:r>
          <w:tab/>
        </w:r>
        <w:r>
          <w:fldChar w:fldCharType="begin"/>
        </w:r>
        <w:r>
          <w:instrText xml:space="preserve"> PAGEREF _Toc473044459 \h </w:instrText>
        </w:r>
        <w:r/>
        <w:r>
          <w:fldChar w:fldCharType="separate"/>
        </w:r>
        <w:r>
          <w:t xml:space="preserve">9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r>
        <w:fldChar w:fldCharType="end"/>
      </w:r>
      <w:r/>
    </w:p>
    <w:p>
      <w:pPr>
        <w:pStyle w:val="1018"/>
        <w:numPr>
          <w:ilvl w:val="0"/>
          <w:numId w:val="0"/>
        </w:numPr>
      </w:pPr>
      <w:r>
        <w:br w:type="page" w:clear="all"/>
      </w:r>
      <w:bookmarkStart w:id="2" w:name="_Toc473044446"/>
      <w:r>
        <w:t xml:space="preserve">Общие положения</w:t>
      </w:r>
      <w:bookmarkEnd w:id="2"/>
      <w:r/>
      <w:r/>
    </w:p>
    <w:p>
      <w:pPr>
        <w:pStyle w:val="1019"/>
      </w:pPr>
      <w:r/>
      <w:bookmarkStart w:id="3" w:name="_Toc473044447"/>
      <w:r>
        <w:t xml:space="preserve">Список принятых сокращений</w:t>
      </w:r>
      <w:bookmarkEnd w:id="3"/>
      <w:r/>
      <w:r/>
    </w:p>
    <w:p>
      <w:pPr>
        <w:pStyle w:val="1036"/>
      </w:pPr>
      <w:r>
        <w:t xml:space="preserve">В</w:t>
      </w:r>
      <w:r>
        <w:t xml:space="preserve"> разделе в табличном виде приводится расшифровка используемых в документе терминов и сокращений.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309"/>
        <w:gridCol w:w="7318"/>
      </w:tblGrid>
      <w:tr>
        <w:tblPrEx/>
        <w:trPr>
          <w:trHeight w:val="665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Термин/ </w:t>
            </w:r>
            <w:r>
              <w:rPr>
                <w:b/>
              </w:rPr>
            </w:r>
          </w:p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Сокращение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26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Расшифровка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325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7426" w:type="dxa"/>
            <w:vAlign w:val="center"/>
            <w:textDirection w:val="lrTb"/>
            <w:noWrap w:val="false"/>
          </w:tcPr>
          <w:p>
            <w:pPr>
              <w:pStyle w:val="1036"/>
              <w:numPr>
                <w:ilvl w:val="0"/>
                <w:numId w:val="0"/>
              </w:numPr>
            </w:pPr>
            <w:r/>
            <w:r/>
          </w:p>
        </w:tc>
      </w:tr>
    </w:tbl>
    <w:p>
      <w:pPr>
        <w:pStyle w:val="1019"/>
      </w:pPr>
      <w:r/>
      <w:bookmarkStart w:id="4" w:name="_Toc473044448"/>
      <w:r>
        <w:t xml:space="preserve">Список принятых обозначений</w:t>
      </w:r>
      <w:bookmarkEnd w:id="4"/>
      <w:r/>
      <w:r/>
    </w:p>
    <w:p>
      <w:pPr>
        <w:pStyle w:val="1036"/>
      </w:pPr>
      <w:r>
        <w:t xml:space="preserve">В разделе в табличном виде приводится описание обозначений, которые используются при подготовке диаграмм процессов.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314"/>
        <w:gridCol w:w="7313"/>
      </w:tblGrid>
      <w:tr>
        <w:tblPrEx/>
        <w:trPr>
          <w:trHeight w:val="48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Обозначение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26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Описание обозначения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325" w:type="dxa"/>
            <w:vAlign w:val="center"/>
            <w:textDirection w:val="lrTb"/>
            <w:noWrap w:val="false"/>
          </w:tcPr>
          <w:p>
            <w:r>
              <w:object w:dxaOrig="1634" w:dyaOrig="1067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0" o:spid="_x0000_s0" type="#_x0000_t75" style="width:81.75pt;height:53.25pt;mso-wrap-distance-left:0.00pt;mso-wrap-distance-top:0.00pt;mso-wrap-distance-right:0.00pt;mso-wrap-distance-bottom:0.00pt;" filled="f" stroked="f">
                  <v:path textboxrect="0,0,0,0"/>
                  <v:imagedata r:id="rId17" o:title=""/>
                </v:shape>
                <o:OLEObject DrawAspect="Content" r:id="rId18" ObjectID="_1525040" ProgID="Visio.Drawing.11" ShapeID="_x0000_i0" Type="Embed"/>
              </w:object>
            </w:r>
            <w:r/>
          </w:p>
        </w:tc>
        <w:tc>
          <w:tcPr>
            <w:shd w:val="clear" w:color="auto" w:fill="auto"/>
            <w:tcW w:w="7426" w:type="dxa"/>
            <w:vAlign w:val="center"/>
            <w:textDirection w:val="lrTb"/>
            <w:noWrap w:val="false"/>
          </w:tcPr>
          <w:p>
            <w:pPr>
              <w:pStyle w:val="1093"/>
            </w:pPr>
            <w:r>
              <w:t xml:space="preserve">Документ на бумажном носителе – может являться входными данными или результатом выполнения операции.</w:t>
            </w:r>
            <w:r/>
          </w:p>
        </w:tc>
      </w:tr>
    </w:tbl>
    <w:p>
      <w:pPr>
        <w:pStyle w:val="1019"/>
      </w:pPr>
      <w:r/>
      <w:bookmarkStart w:id="5" w:name="_Toc473044449"/>
      <w:r>
        <w:t xml:space="preserve">Назначение документа</w:t>
      </w:r>
      <w:bookmarkEnd w:id="5"/>
      <w:r/>
      <w:r/>
    </w:p>
    <w:p>
      <w:pPr>
        <w:pStyle w:val="1036"/>
      </w:pPr>
      <w:r>
        <w:t xml:space="preserve">В разделе приводится назначение данного документа, регламент выполнения процесса и краткое описание процесса.</w:t>
      </w:r>
      <w:r/>
    </w:p>
    <w:p>
      <w:pPr>
        <w:pStyle w:val="1018"/>
      </w:pPr>
      <w:r/>
      <w:bookmarkStart w:id="6" w:name="_Toc473044450"/>
      <w:r>
        <w:t xml:space="preserve">Основные понятия</w:t>
      </w:r>
      <w:bookmarkEnd w:id="6"/>
      <w:r/>
      <w:r/>
    </w:p>
    <w:p>
      <w:pPr>
        <w:pStyle w:val="1019"/>
      </w:pPr>
      <w:r/>
      <w:bookmarkStart w:id="7" w:name="_Toc473044451"/>
      <w:r>
        <w:t xml:space="preserve">Участники процесса</w:t>
      </w:r>
      <w:bookmarkEnd w:id="7"/>
      <w:r/>
      <w:r/>
    </w:p>
    <w:p>
      <w:pPr>
        <w:pStyle w:val="1036"/>
      </w:pPr>
      <w:r>
        <w:t xml:space="preserve">Для каждого процесса выделяются его участники, деятельность которых относится к описываемому процессу:</w:t>
      </w:r>
      <w:r/>
    </w:p>
    <w:p>
      <w:pPr>
        <w:pStyle w:val="1054"/>
      </w:pPr>
      <w:r>
        <w:t xml:space="preserve">внутренние участники – органы Федерального казначейства (Центральный аппарат, Управлен</w:t>
      </w:r>
      <w:r>
        <w:t xml:space="preserve">ия Федерального казначейства и территориальные о</w:t>
      </w:r>
      <w:r>
        <w:t xml:space="preserve">тде</w:t>
      </w:r>
      <w:r>
        <w:t xml:space="preserve">лы Управлений</w:t>
      </w:r>
      <w:r>
        <w:t xml:space="preserve"> Федерального казначейства), отдельные структурные подразделения органов Федерального казначейства в соответствии с организационно-штатной структурой</w:t>
      </w:r>
      <w:r>
        <w:t xml:space="preserve">;</w:t>
      </w:r>
      <w:r/>
    </w:p>
    <w:p>
      <w:pPr>
        <w:pStyle w:val="1054"/>
      </w:pPr>
      <w:r>
        <w:t xml:space="preserve">внешние участники –</w:t>
      </w:r>
      <w:r>
        <w:t xml:space="preserve"> участники процесса, с которыми органы Федерального казначейства осуществляют взаимодействие в целях реализации описываемого процесса. К ним могут от</w:t>
      </w:r>
      <w:r>
        <w:t xml:space="preserve">носиться: финансовые (уполномоченные) органы бюджетов бюджетной системы РФ, главные распорядители, распорядители и получатели бюджетных средств, администраторы доходов, администраторы источников финансирования дефицита бюджета, кредитные организации и т.д.</w:t>
      </w:r>
      <w:r/>
    </w:p>
    <w:p>
      <w:pPr>
        <w:pStyle w:val="1036"/>
      </w:pPr>
      <w:r>
        <w:t xml:space="preserve">Для каждого внутреннего участника процесса определяется перечень его ролевых функций в рамках реализации описываемого процесса, т.е. перечень типовых операций.</w:t>
      </w:r>
      <w:r/>
    </w:p>
    <w:p>
      <w:pPr>
        <w:pStyle w:val="1019"/>
      </w:pPr>
      <w:r/>
      <w:bookmarkStart w:id="8" w:name="_Toc473044452"/>
      <w:r>
        <w:t xml:space="preserve">Документы, регламентирующие данный процесс</w:t>
      </w:r>
      <w:bookmarkEnd w:id="8"/>
      <w:r/>
      <w:r/>
    </w:p>
    <w:p>
      <w:pPr>
        <w:pStyle w:val="1036"/>
      </w:pPr>
      <w:r>
        <w:t xml:space="preserve">В</w:t>
      </w:r>
      <w:r>
        <w:t xml:space="preserve"> разделе в табличном виде приводится перечень нормативных актов</w:t>
      </w:r>
      <w:r>
        <w:t xml:space="preserve"> и иных документов</w:t>
      </w:r>
      <w:r>
        <w:t xml:space="preserve">, в соответствии с которыми разрабатывается настоящий документ</w:t>
      </w:r>
      <w:r>
        <w:t xml:space="preserve">, а так</w:t>
      </w:r>
      <w:r>
        <w:t xml:space="preserve">же ссылки на соответствующие положения нормативных актов</w:t>
      </w:r>
      <w:r>
        <w:t xml:space="preserve"> и иных документов.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760"/>
        <w:gridCol w:w="2546"/>
        <w:gridCol w:w="6321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Документ, регламентирующий процесс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433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Ссылка </w:t>
            </w:r>
            <w:r>
              <w:rPr>
                <w:b/>
              </w:rPr>
              <w:t xml:space="preserve">на положения документа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766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6433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</w:tr>
      <w:tr>
        <w:tblPrEx/>
        <w:trPr/>
        <w:tc>
          <w:tcPr>
            <w:shd w:val="clear" w:color="auto" w:fill="auto"/>
            <w:tcW w:w="766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6433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</w:tr>
    </w:tbl>
    <w:p>
      <w:pPr>
        <w:pStyle w:val="1019"/>
      </w:pPr>
      <w:r/>
      <w:bookmarkStart w:id="9" w:name="_Toc473044453"/>
      <w:r>
        <w:t xml:space="preserve">Документооборот</w:t>
      </w:r>
      <w:bookmarkEnd w:id="9"/>
      <w:r/>
      <w:r/>
    </w:p>
    <w:p>
      <w:pPr>
        <w:pStyle w:val="1036"/>
      </w:pPr>
      <w:r>
        <w:t xml:space="preserve">Под документами понимаются электронные документы и документы на бумажном носителе, сформированные специалистами органов Федерального казначейства, полученные от </w:t>
      </w:r>
      <w:r>
        <w:t xml:space="preserve">внешних участников процесса, а также протоколы автоматизированной обработки, сформированные по итогам обработки полученных от внешних участников процесса документов, и содержащие описание результатов обработки документов и ошибок в случае их возникновения.</w:t>
      </w:r>
      <w:r/>
    </w:p>
    <w:p>
      <w:pPr>
        <w:pStyle w:val="1036"/>
      </w:pPr>
      <w:r>
        <w:t xml:space="preserve">Под извещениями о доставке данных понимаются системные квитанции, которые используются в СЭД или аналогичном прикладном программном обеспечении для идентификации корректной доставки данных внешним участникам процесса.</w:t>
      </w:r>
      <w:r/>
    </w:p>
    <w:p>
      <w:pPr>
        <w:pStyle w:val="1036"/>
      </w:pPr>
      <w:r>
        <w:t xml:space="preserve">Под документооборотом понимается последовательность движения документов и извещений, используемых в описываемом процессе.</w:t>
      </w:r>
      <w:r/>
    </w:p>
    <w:p>
      <w:pPr>
        <w:pStyle w:val="1036"/>
      </w:pPr>
      <w:r>
        <w:t xml:space="preserve">В разделе в табличном виде приводится перечень документов и соответствующих актов, регламентирующих их форму и состав показателей.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5"/>
        <w:gridCol w:w="2092"/>
        <w:gridCol w:w="3227"/>
        <w:gridCol w:w="3553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6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Документ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Регламентирующий акт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98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Ссылка на положения регламентирующего акта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766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326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598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766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326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3598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19"/>
      </w:pPr>
      <w:r/>
      <w:bookmarkStart w:id="10" w:name="_Toc473044454"/>
      <w:r>
        <w:t xml:space="preserve">Используемое ППО</w:t>
      </w:r>
      <w:bookmarkEnd w:id="10"/>
      <w:r/>
      <w:r/>
    </w:p>
    <w:p>
      <w:pPr>
        <w:pStyle w:val="1036"/>
      </w:pPr>
      <w:r>
        <w:t xml:space="preserve">В разделе в табличном виде приводится перечень прикладного программного обеспечения, используемого в органах Федерального казн</w:t>
      </w:r>
      <w:r>
        <w:t xml:space="preserve">ачейства при осуществлении операций в рамках описываемого процесса, описание автоматизируемых функций в рамках процесса и их соответствие операциям в технологической карте. В случае рассмотрения в рамках одного процесса нескольких сценариев его реализации </w:t>
      </w:r>
      <w:r>
        <w:t xml:space="preserve">(например, в Управлениях Федерального казначейства или</w:t>
      </w:r>
      <w:r>
        <w:t xml:space="preserve"> территориальных отделах Управления</w:t>
      </w:r>
      <w:r>
        <w:t xml:space="preserve"> Федерального казначейства</w:t>
      </w:r>
      <w:r>
        <w:t xml:space="preserve">), то приводится описание автоматизируемых функций для каждого из сценариев</w:t>
      </w:r>
      <w:r>
        <w:t xml:space="preserve">.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700"/>
        <w:gridCol w:w="592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3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Наименование ППО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8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Автоматизируемая функция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743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6008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</w:tr>
    </w:tbl>
    <w:p>
      <w:pPr>
        <w:pStyle w:val="1019"/>
      </w:pPr>
      <w:r/>
      <w:bookmarkStart w:id="11" w:name="_Toc473044455"/>
      <w:r>
        <w:t xml:space="preserve">Используемая документация</w:t>
      </w:r>
      <w:bookmarkEnd w:id="11"/>
      <w:r/>
      <w:r/>
    </w:p>
    <w:p>
      <w:pPr>
        <w:pStyle w:val="1036"/>
      </w:pPr>
      <w:r>
        <w:t xml:space="preserve">В разделе в табличном виде приводится перечень пользовательской документации</w:t>
      </w:r>
      <w:r>
        <w:rPr>
          <w:rStyle w:val="1060"/>
        </w:rPr>
        <w:footnoteReference w:id="3"/>
      </w:r>
      <w:r>
        <w:t xml:space="preserve">, используемой для определения порядка выполнения операций в рамках описываемого процесса.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703"/>
        <w:gridCol w:w="5924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43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Наименование ППО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8" w:type="dxa"/>
            <w:vAlign w:val="center"/>
            <w:textDirection w:val="lrTb"/>
            <w:noWrap w:val="false"/>
          </w:tcPr>
          <w:p>
            <w:pPr>
              <w:pStyle w:val="1093"/>
              <w:rPr>
                <w:b/>
              </w:rPr>
            </w:pPr>
            <w:r>
              <w:rPr>
                <w:b/>
              </w:rPr>
              <w:t xml:space="preserve">Документация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743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  <w:tc>
          <w:tcPr>
            <w:shd w:val="clear" w:color="auto" w:fill="auto"/>
            <w:tcW w:w="6008" w:type="dxa"/>
            <w:vAlign w:val="center"/>
            <w:textDirection w:val="lrTb"/>
            <w:noWrap w:val="false"/>
          </w:tcPr>
          <w:p>
            <w:pPr>
              <w:pStyle w:val="1093"/>
            </w:pPr>
            <w:r/>
            <w:r/>
          </w:p>
        </w:tc>
      </w:tr>
    </w:tbl>
    <w:p>
      <w:pPr>
        <w:pStyle w:val="1018"/>
      </w:pPr>
      <w:r/>
      <w:bookmarkStart w:id="12" w:name="_Toc473044456"/>
      <w:r>
        <w:t xml:space="preserve">Диаграмма процесса</w:t>
      </w:r>
      <w:bookmarkEnd w:id="12"/>
      <w:r/>
      <w:r/>
    </w:p>
    <w:p>
      <w:pPr>
        <w:pStyle w:val="1035"/>
      </w:pPr>
      <w:r>
        <w:t xml:space="preserve">Цель формирования диаграммы процесса – визуальное представление последовательности и взаимосвязи выполнения операций в ходе процесса и связей с внешними участниками процесса.</w:t>
      </w:r>
      <w:r/>
    </w:p>
    <w:p>
      <w:pPr>
        <w:pStyle w:val="1035"/>
      </w:pPr>
      <w:r>
        <w:t xml:space="preserve">Диаграмма процесса должна содержать следующую информацию:</w:t>
      </w:r>
      <w:r/>
    </w:p>
    <w:p>
      <w:pPr>
        <w:pStyle w:val="1054"/>
      </w:pPr>
      <w:r>
        <w:t xml:space="preserve">состав операций, входящих в состав процесса,</w:t>
      </w:r>
      <w:r/>
    </w:p>
    <w:p>
      <w:pPr>
        <w:pStyle w:val="1054"/>
      </w:pPr>
      <w:r>
        <w:t xml:space="preserve">перечень внешних участников процесса,</w:t>
      </w:r>
      <w:r/>
    </w:p>
    <w:p>
      <w:pPr>
        <w:pStyle w:val="1054"/>
      </w:pPr>
      <w:r>
        <w:t xml:space="preserve">информация о взаимодействии процесса с внешними участниками - потоки документов,</w:t>
      </w:r>
      <w:r/>
    </w:p>
    <w:p>
      <w:pPr>
        <w:pStyle w:val="1054"/>
      </w:pPr>
      <w:r>
        <w:t xml:space="preserve">информация о взаимодей</w:t>
      </w:r>
      <w:r>
        <w:t xml:space="preserve">ствии операций внутри процесса – после</w:t>
      </w:r>
      <w:r>
        <w:t xml:space="preserve">довательность выполнения операций (на диаграмме указывается порядковый номер операции), условия выполнения операций, функциональные роли специал</w:t>
      </w:r>
      <w:r>
        <w:t xml:space="preserve">истов, выполняющих операции, по</w:t>
      </w:r>
      <w:r>
        <w:t xml:space="preserve">токи документов.</w:t>
      </w:r>
      <w:r/>
    </w:p>
    <w:p>
      <w:pPr>
        <w:pStyle w:val="1018"/>
      </w:pPr>
      <w:r/>
      <w:bookmarkStart w:id="13" w:name="_Toc473044457"/>
      <w:r>
        <w:t xml:space="preserve">Краткое описание процесса</w:t>
      </w:r>
      <w:bookmarkEnd w:id="13"/>
      <w:r/>
      <w:r/>
    </w:p>
    <w:p>
      <w:pPr>
        <w:pStyle w:val="1035"/>
      </w:pPr>
      <w:r>
        <w:t xml:space="preserve">В настоящем разделе приводится краткое описание процесса с указанием ссылок на номера операций соответству</w:t>
      </w:r>
      <w:r>
        <w:t xml:space="preserve">ющей диаграммы. Последовательно описываются все шаги процесса, указываются ролевые функции специалистов органов Федерального казначейства, выполняющих каждый из шагов процесса, указываются условия выполнения шагов процесса и результаты выполнения процесса.</w:t>
      </w:r>
      <w:r/>
    </w:p>
    <w:p>
      <w:pPr>
        <w:pStyle w:val="1018"/>
      </w:pPr>
      <w:r/>
      <w:bookmarkStart w:id="14" w:name="_Toc473044458"/>
      <w:r>
        <w:t xml:space="preserve">Технологическая карта</w:t>
      </w:r>
      <w:bookmarkEnd w:id="14"/>
      <w:r/>
      <w:r/>
    </w:p>
    <w:p>
      <w:pPr>
        <w:pStyle w:val="1035"/>
      </w:pPr>
      <w:r>
        <w:t xml:space="preserve">Технологическая карта формируется отдельным документом «Технологическая карта к ТР ХХХ.xls», в которую вносятся все операции, входящие в состав процесса и приведенные на диаграмме процесса.</w:t>
      </w:r>
      <w:r/>
    </w:p>
    <w:p>
      <w:pPr>
        <w:pStyle w:val="1062"/>
      </w:pPr>
      <w:r>
        <w:br w:type="page" w:clear="all"/>
      </w:r>
      <w:bookmarkStart w:id="15" w:name="_Toc473044459"/>
      <w:r>
        <w:t xml:space="preserve">Приложение 1. </w:t>
      </w:r>
      <w:r>
        <w:br/>
        <w:t xml:space="preserve">Технологическая карта</w:t>
      </w:r>
      <w:bookmarkEnd w:id="15"/>
      <w:r/>
      <w:r/>
    </w:p>
    <w:p>
      <w:pPr>
        <w:pStyle w:val="1082"/>
      </w:pPr>
      <w:r>
        <w:t xml:space="preserve">Технологическая карта является неотъемлемым приложением к настоящему технологическому регламенту и оформляется в виде отдельного документа </w:t>
      </w:r>
      <w:r>
        <w:t xml:space="preserve">в формате </w:t>
      </w:r>
      <w:r>
        <w:t xml:space="preserve">MS Excel в соответствии с шаблоном из состава комплекта шаблонов ФАП ФК.</w:t>
      </w:r>
      <w:r/>
    </w:p>
    <w:p>
      <w:pPr>
        <w:pStyle w:val="1082"/>
      </w:pPr>
      <w:r/>
      <w:r/>
    </w:p>
    <w:p>
      <w:pPr>
        <w:pStyle w:val="1043"/>
      </w:pPr>
      <w:r>
        <w:br w:type="page" w:clear="all"/>
      </w:r>
      <w:r>
        <w:t xml:space="preserve"> </w:t>
      </w:r>
      <w:r>
        <w:t xml:space="preserve">Согласовано</w:t>
      </w:r>
      <w:r/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214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r>
              <w:t xml:space="preserve">Наименование организации, предприятия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r>
              <w:t xml:space="preserve">Должность</w:t>
            </w:r>
            <w:r>
              <w:br/>
              <w:t xml:space="preserve">исполнителя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r>
              <w:t xml:space="preserve">Фамилия, имя, отчество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r>
              <w:t xml:space="preserve">Подпись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4" w:type="dxa"/>
            <w:vAlign w:val="center"/>
            <w:textDirection w:val="lrTb"/>
            <w:noWrap w:val="false"/>
          </w:tcPr>
          <w:p>
            <w:r>
              <w:t xml:space="preserve">Дата</w:t>
            </w:r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14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1043"/>
      </w:pPr>
      <w:r/>
      <w:bookmarkStart w:id="16" w:name="_Toc358118979"/>
      <w:r/>
      <w:bookmarkStart w:id="17" w:name="_Toc403720970"/>
      <w:r>
        <w:br w:type="page" w:clear="all"/>
      </w:r>
      <w:r>
        <w:t xml:space="preserve">Лист регистрации изменений</w:t>
      </w:r>
      <w:bookmarkEnd w:id="16"/>
      <w:r/>
      <w:bookmarkEnd w:id="17"/>
      <w:r/>
      <w:r/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r>
              <w:t xml:space="preserve">№</w:t>
            </w:r>
            <w:r>
              <w:br/>
              <w:t xml:space="preserve">версии док-та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r>
              <w:t xml:space="preserve">Дата</w:t>
            </w:r>
            <w:r>
              <w:br/>
              <w:t xml:space="preserve">изменения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r>
              <w:t xml:space="preserve">Автор</w:t>
            </w:r>
            <w:r>
              <w:br/>
              <w:t xml:space="preserve">изменений</w:t>
            </w:r>
            <w:r/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r>
              <w:t xml:space="preserve">Изменения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bookmarkStart w:id="18" w:name="_GoBack"/>
            <w:r/>
            <w:bookmarkEnd w:id="18"/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r/>
      <w:r/>
    </w:p>
    <w:sectPr>
      <w:headerReference w:type="default" r:id="rId10"/>
      <w:footerReference w:type="first" r:id="rId12"/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rPr>
        <w:rStyle w:val="1100"/>
        <w:lang w:val="en-US"/>
      </w:rPr>
    </w:pPr>
    <w:r>
      <w:t xml:space="preserve">20</w:t>
    </w:r>
    <w:r>
      <w:rPr>
        <w:rStyle w:val="1100"/>
      </w:rPr>
      <w:t xml:space="preserve"> </w:t>
    </w:r>
    <w:r>
      <w:rPr>
        <w:rStyle w:val="1100"/>
      </w:rPr>
      <w:t xml:space="preserve"> </w:t>
    </w:r>
    <w:r>
      <w:rPr>
        <w:rStyle w:val="1100"/>
        <w:lang w:val="en-US"/>
      </w:rPr>
      <w:t xml:space="preserve"> </w:t>
    </w:r>
    <w:r>
      <w:t xml:space="preserve">г.</w:t>
    </w:r>
    <w:r>
      <w:rPr>
        <w:rStyle w:val="1100"/>
        <w:lang w:val="en-U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9"/>
      <w:rPr>
        <w:rStyle w:val="1100"/>
        <w:lang w:val="en-US"/>
      </w:rPr>
    </w:pPr>
    <w:r>
      <w:t xml:space="preserve">20</w:t>
    </w:r>
    <w:r>
      <w:rPr>
        <w:rStyle w:val="1100"/>
      </w:rPr>
      <w:t xml:space="preserve"> </w:t>
    </w:r>
    <w:r>
      <w:rPr>
        <w:rStyle w:val="1100"/>
      </w:rPr>
      <w:t xml:space="preserve"> </w:t>
    </w:r>
    <w:r>
      <w:rPr>
        <w:rStyle w:val="1100"/>
        <w:lang w:val="en-US"/>
      </w:rPr>
      <w:t xml:space="preserve"> </w:t>
    </w:r>
    <w:r>
      <w:t xml:space="preserve">г.</w:t>
    </w:r>
    <w:r>
      <w:rPr>
        <w:rStyle w:val="1100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rPr>
          <w:rStyle w:val="1112"/>
        </w:rPr>
      </w:pPr>
      <w:r>
        <w:rPr>
          <w:rStyle w:val="1112"/>
        </w:rPr>
        <w:footnoteRef/>
      </w:r>
      <w:r>
        <w:rPr>
          <w:rStyle w:val="1112"/>
        </w:rPr>
        <w:t xml:space="preserve"> Перечень </w:t>
      </w:r>
      <w:r>
        <w:rPr>
          <w:rStyle w:val="1112"/>
        </w:rPr>
        <w:t xml:space="preserve">Т</w:t>
      </w:r>
      <w:r>
        <w:rPr>
          <w:rStyle w:val="1112"/>
        </w:rPr>
        <w:t xml:space="preserve">ехнических заданий содержит информацию о доработка</w:t>
      </w:r>
      <w:r>
        <w:rPr>
          <w:rStyle w:val="1112"/>
        </w:rPr>
        <w:t xml:space="preserve">х</w:t>
      </w:r>
      <w:r>
        <w:rPr>
          <w:rStyle w:val="1112"/>
        </w:rPr>
        <w:t xml:space="preserve"> из листа регистрации изменений для передаваемой версии Технологического регламента.</w:t>
      </w:r>
      <w:r>
        <w:rPr>
          <w:rStyle w:val="1112"/>
        </w:rPr>
      </w:r>
    </w:p>
  </w:footnote>
  <w:footnote w:id="3">
    <w:p>
      <w:pPr>
        <w:rPr>
          <w:rStyle w:val="1112"/>
        </w:rPr>
      </w:pPr>
      <w:r>
        <w:rPr>
          <w:rStyle w:val="1060"/>
        </w:rPr>
        <w:footnoteRef/>
      </w:r>
      <w:r>
        <w:t xml:space="preserve"> </w:t>
      </w:r>
      <w:r>
        <w:rPr>
          <w:rStyle w:val="1112"/>
        </w:rPr>
        <w:t xml:space="preserve">Для пользовательской документации указывается код </w:t>
      </w:r>
      <w:r>
        <w:rPr>
          <w:rStyle w:val="1112"/>
        </w:rPr>
        <w:t xml:space="preserve">документа.</w:t>
      </w:r>
      <w:r>
        <w:rPr>
          <w:rStyle w:val="1112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11"/>
      <w:gridCol w:w="6213"/>
      <w:gridCol w:w="1072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Технологический регламент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XXXXXXXX.AA.BB,BB.</w:t>
          </w:r>
          <w:r>
            <w:rPr>
              <w:rStyle w:val="1098"/>
            </w:rPr>
            <w:t xml:space="preserve">ИТ</w:t>
          </w:r>
          <w:r>
            <w:t xml:space="preserve">.DDD-E.E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093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2</w:t>
          </w:r>
          <w:r>
            <w:fldChar w:fldCharType="end"/>
          </w:r>
          <w:r/>
        </w:p>
      </w:tc>
    </w:tr>
  </w:tbl>
  <w:p>
    <w:pPr>
      <w:pStyle w:val="104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Технологический регламент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093"/>
          </w:pPr>
          <w:r>
            <w:t xml:space="preserve">XXXXXXXX.AA.BB,BB.</w:t>
          </w:r>
          <w:r>
            <w:rPr>
              <w:rStyle w:val="1098"/>
            </w:rPr>
            <w:t xml:space="preserve">ТР</w:t>
          </w:r>
          <w:r>
            <w:t xml:space="preserve">.DDD-E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1093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11</w:t>
          </w:r>
          <w:r>
            <w:fldChar w:fldCharType="end"/>
          </w:r>
          <w:r/>
        </w:p>
      </w:tc>
    </w:tr>
  </w:tbl>
  <w:p>
    <w:pPr>
      <w:pStyle w:val="104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1081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1054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1018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1019"/>
      <w:isLgl w:val="false"/>
      <w:suff w:val="space"/>
      <w:lvlText w:val="%1.%2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1020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1021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bullet"/>
      <w:pStyle w:val="1071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none"/>
      <w:pStyle w:val="1055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1061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pStyle w:val="1113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7">
    <w:multiLevelType w:val="hybridMultilevel"/>
    <w:lvl w:ilvl="0">
      <w:start w:val="1"/>
      <w:numFmt w:val="bullet"/>
      <w:pStyle w:val="1058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8">
    <w:multiLevelType w:val="hybridMultilevel"/>
    <w:lvl w:ilvl="0">
      <w:start w:val="1"/>
      <w:numFmt w:val="decimal"/>
      <w:pStyle w:val="1057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decimal"/>
      <w:pStyle w:val="1048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58"/>
  </w:num>
  <w:num w:numId="3">
    <w:abstractNumId w:val="24"/>
  </w:num>
  <w:num w:numId="4">
    <w:abstractNumId w:val="59"/>
  </w:num>
  <w:num w:numId="5">
    <w:abstractNumId w:val="57"/>
  </w:num>
  <w:num w:numId="6">
    <w:abstractNumId w:val="30"/>
  </w:num>
  <w:num w:numId="7">
    <w:abstractNumId w:val="8"/>
  </w:num>
  <w:num w:numId="8">
    <w:abstractNumId w:val="11"/>
  </w:num>
  <w:num w:numId="9">
    <w:abstractNumId w:val="50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8"/>
  </w:num>
  <w:num w:numId="21">
    <w:abstractNumId w:val="18"/>
  </w:num>
  <w:num w:numId="22">
    <w:abstractNumId w:val="49"/>
  </w:num>
  <w:num w:numId="23">
    <w:abstractNumId w:val="40"/>
  </w:num>
  <w:num w:numId="24">
    <w:abstractNumId w:val="42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3"/>
  </w:num>
  <w:num w:numId="30">
    <w:abstractNumId w:val="33"/>
  </w:num>
  <w:num w:numId="31">
    <w:abstractNumId w:val="31"/>
  </w:num>
  <w:num w:numId="32">
    <w:abstractNumId w:val="36"/>
  </w:num>
  <w:num w:numId="33">
    <w:abstractNumId w:val="52"/>
  </w:num>
  <w:num w:numId="34">
    <w:abstractNumId w:val="19"/>
  </w:num>
  <w:num w:numId="35">
    <w:abstractNumId w:val="17"/>
  </w:num>
  <w:num w:numId="36">
    <w:abstractNumId w:val="46"/>
  </w:num>
  <w:num w:numId="37">
    <w:abstractNumId w:val="2"/>
  </w:num>
  <w:num w:numId="38">
    <w:abstractNumId w:val="45"/>
  </w:num>
  <w:num w:numId="39">
    <w:abstractNumId w:val="41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51"/>
  </w:num>
  <w:num w:numId="50">
    <w:abstractNumId w:val="56"/>
  </w:num>
  <w:num w:numId="51">
    <w:abstractNumId w:val="27"/>
  </w:num>
  <w:num w:numId="52">
    <w:abstractNumId w:val="55"/>
  </w:num>
  <w:num w:numId="53">
    <w:abstractNumId w:val="43"/>
  </w:num>
  <w:num w:numId="5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38"/>
  </w:num>
  <w:num w:numId="59">
    <w:abstractNumId w:val="44"/>
  </w:num>
  <w:num w:numId="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1025"/>
    <w:link w:val="101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1025"/>
    <w:link w:val="101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1025"/>
    <w:link w:val="102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1025"/>
    <w:link w:val="102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1025"/>
    <w:link w:val="102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1025"/>
    <w:link w:val="102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1025"/>
    <w:link w:val="10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17"/>
    <w:next w:val="10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025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17"/>
    <w:next w:val="10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025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17"/>
    <w:next w:val="10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025"/>
    <w:link w:val="34"/>
    <w:uiPriority w:val="10"/>
    <w:rPr>
      <w:sz w:val="48"/>
      <w:szCs w:val="48"/>
    </w:rPr>
  </w:style>
  <w:style w:type="paragraph" w:styleId="36">
    <w:name w:val="Subtitle"/>
    <w:basedOn w:val="1017"/>
    <w:next w:val="10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025"/>
    <w:link w:val="36"/>
    <w:uiPriority w:val="11"/>
    <w:rPr>
      <w:sz w:val="24"/>
      <w:szCs w:val="24"/>
    </w:rPr>
  </w:style>
  <w:style w:type="paragraph" w:styleId="38">
    <w:name w:val="Quote"/>
    <w:basedOn w:val="1017"/>
    <w:next w:val="10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17"/>
    <w:next w:val="10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025"/>
    <w:link w:val="1041"/>
    <w:uiPriority w:val="99"/>
  </w:style>
  <w:style w:type="character" w:styleId="45">
    <w:name w:val="Footer Char"/>
    <w:basedOn w:val="1025"/>
    <w:link w:val="1044"/>
    <w:uiPriority w:val="99"/>
  </w:style>
  <w:style w:type="character" w:styleId="47">
    <w:name w:val="Caption Char"/>
    <w:basedOn w:val="1103"/>
    <w:link w:val="1044"/>
    <w:uiPriority w:val="99"/>
  </w:style>
  <w:style w:type="table" w:styleId="49">
    <w:name w:val="Table Grid Light"/>
    <w:basedOn w:val="10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02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02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0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0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0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0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0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0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02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102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02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059"/>
    <w:uiPriority w:val="99"/>
    <w:rPr>
      <w:sz w:val="18"/>
    </w:rPr>
  </w:style>
  <w:style w:type="character" w:styleId="179">
    <w:name w:val="Endnote Text Char"/>
    <w:link w:val="1088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1017" w:default="1">
    <w:name w:val="Normal"/>
    <w:qFormat/>
    <w:pPr>
      <w:jc w:val="both"/>
    </w:pPr>
    <w:rPr>
      <w:color w:val="000000"/>
      <w:sz w:val="24"/>
    </w:rPr>
  </w:style>
  <w:style w:type="paragraph" w:styleId="1018">
    <w:name w:val="Heading 1"/>
    <w:basedOn w:val="1017"/>
    <w:next w:val="1035"/>
    <w:link w:val="1030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1019">
    <w:name w:val="Heading 2"/>
    <w:basedOn w:val="1017"/>
    <w:next w:val="1036"/>
    <w:link w:val="1102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1020">
    <w:name w:val="Heading 3"/>
    <w:basedOn w:val="1017"/>
    <w:next w:val="1038"/>
    <w:link w:val="1031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1021">
    <w:name w:val="Heading 4"/>
    <w:basedOn w:val="1017"/>
    <w:next w:val="1073"/>
    <w:link w:val="1032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1022">
    <w:name w:val="Heading 5"/>
    <w:basedOn w:val="1017"/>
    <w:next w:val="1017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1023">
    <w:name w:val="Heading 6"/>
    <w:basedOn w:val="1017"/>
    <w:next w:val="1017"/>
    <w:link w:val="1033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1024">
    <w:name w:val="Heading 7"/>
    <w:basedOn w:val="1017"/>
    <w:next w:val="1017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1025" w:default="1">
    <w:name w:val="Default Paragraph Font"/>
    <w:uiPriority w:val="1"/>
    <w:semiHidden/>
    <w:unhideWhenUsed/>
  </w:style>
  <w:style w:type="table" w:styleId="102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7" w:default="1">
    <w:name w:val="No List"/>
    <w:uiPriority w:val="99"/>
    <w:semiHidden/>
    <w:unhideWhenUsed/>
  </w:style>
  <w:style w:type="paragraph" w:styleId="1028">
    <w:name w:val="Body Text"/>
    <w:basedOn w:val="1017"/>
    <w:link w:val="1029"/>
    <w:pPr>
      <w:ind w:firstLine="567"/>
    </w:pPr>
    <w:rPr>
      <w:sz w:val="28"/>
    </w:rPr>
  </w:style>
  <w:style w:type="character" w:styleId="1029" w:customStyle="1">
    <w:name w:val="Основной текст Знак"/>
    <w:link w:val="1028"/>
    <w:rPr>
      <w:color w:val="000000"/>
      <w:sz w:val="28"/>
    </w:rPr>
  </w:style>
  <w:style w:type="character" w:styleId="1030" w:customStyle="1">
    <w:name w:val="Заголовок 1 Знак"/>
    <w:link w:val="1018"/>
    <w:rPr>
      <w:rFonts w:ascii="Arial" w:hAnsi="Arial"/>
      <w:b/>
      <w:bCs/>
      <w:color w:val="000000"/>
      <w:sz w:val="36"/>
    </w:rPr>
  </w:style>
  <w:style w:type="character" w:styleId="1031" w:customStyle="1">
    <w:name w:val="Заголовок 3 Знак"/>
    <w:link w:val="1020"/>
    <w:rPr>
      <w:rFonts w:ascii="Arial" w:hAnsi="Arial"/>
      <w:b/>
      <w:bCs/>
      <w:color w:val="000000"/>
      <w:sz w:val="28"/>
    </w:rPr>
  </w:style>
  <w:style w:type="character" w:styleId="1032" w:customStyle="1">
    <w:name w:val="Заголовок 4 Знак"/>
    <w:link w:val="1021"/>
    <w:rPr>
      <w:rFonts w:ascii="Arial" w:hAnsi="Arial"/>
      <w:color w:val="000000"/>
      <w:sz w:val="28"/>
    </w:rPr>
  </w:style>
  <w:style w:type="character" w:styleId="1033" w:customStyle="1">
    <w:name w:val="Заголовок 6 Знак"/>
    <w:link w:val="1023"/>
    <w:rPr>
      <w:rFonts w:ascii="Arial" w:hAnsi="Arial"/>
      <w:i/>
      <w:sz w:val="22"/>
      <w:lang w:val="ru-RU" w:eastAsia="en-US" w:bidi="ar-SA"/>
    </w:rPr>
  </w:style>
  <w:style w:type="paragraph" w:styleId="1034" w:customStyle="1">
    <w:name w:val="Таблица - наименование"/>
    <w:basedOn w:val="1017"/>
    <w:qFormat/>
    <w:pPr>
      <w:jc w:val="left"/>
      <w:keepNext/>
      <w:spacing w:before="120" w:after="60"/>
    </w:pPr>
    <w:rPr>
      <w:color w:val="auto"/>
      <w:sz w:val="28"/>
    </w:rPr>
  </w:style>
  <w:style w:type="paragraph" w:styleId="1035" w:customStyle="1">
    <w:name w:val="Пункт 2 уровня"/>
    <w:basedOn w:val="1019"/>
    <w:link w:val="1111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1036" w:customStyle="1">
    <w:name w:val="Пункт 3 уровня"/>
    <w:basedOn w:val="1020"/>
    <w:link w:val="1037"/>
    <w:pPr>
      <w:keepNext w:val="0"/>
      <w:spacing w:before="120"/>
    </w:pPr>
    <w:rPr>
      <w:rFonts w:ascii="Times New Roman" w:hAnsi="Times New Roman"/>
      <w:b w:val="0"/>
    </w:rPr>
  </w:style>
  <w:style w:type="character" w:styleId="1037" w:customStyle="1">
    <w:name w:val="Пункт 3 уровня Знак"/>
    <w:link w:val="1036"/>
    <w:rPr>
      <w:bCs/>
      <w:color w:val="000000"/>
      <w:sz w:val="28"/>
    </w:rPr>
  </w:style>
  <w:style w:type="paragraph" w:styleId="1038" w:customStyle="1">
    <w:name w:val="Пункт 4 уровня"/>
    <w:basedOn w:val="1021"/>
    <w:link w:val="1039"/>
    <w:pPr>
      <w:spacing w:before="120"/>
    </w:pPr>
    <w:rPr>
      <w:rFonts w:ascii="Times New Roman" w:hAnsi="Times New Roman"/>
    </w:rPr>
  </w:style>
  <w:style w:type="character" w:styleId="1039" w:customStyle="1">
    <w:name w:val="Пункт 4 уровня Знак"/>
    <w:basedOn w:val="1032"/>
    <w:link w:val="1038"/>
    <w:rPr>
      <w:rFonts w:ascii="Arial" w:hAnsi="Arial"/>
      <w:color w:val="000000"/>
      <w:sz w:val="28"/>
    </w:rPr>
  </w:style>
  <w:style w:type="character" w:styleId="1040">
    <w:name w:val="FollowedHyperlink"/>
    <w:rPr>
      <w:color w:val="800080"/>
      <w:u w:val="single"/>
    </w:rPr>
  </w:style>
  <w:style w:type="paragraph" w:styleId="1041">
    <w:name w:val="Header"/>
    <w:basedOn w:val="1017"/>
  </w:style>
  <w:style w:type="character" w:styleId="1042">
    <w:name w:val="Hyperlink"/>
    <w:uiPriority w:val="99"/>
    <w:rPr>
      <w:color w:val="0000ff"/>
      <w:u w:val="single"/>
    </w:rPr>
  </w:style>
  <w:style w:type="paragraph" w:styleId="1043" w:customStyle="1">
    <w:name w:val="Заголовки без нумерации"/>
    <w:basedOn w:val="1018"/>
    <w:next w:val="1028"/>
    <w:pPr>
      <w:numPr>
        <w:ilvl w:val="0"/>
        <w:numId w:val="0"/>
      </w:numPr>
    </w:pPr>
  </w:style>
  <w:style w:type="paragraph" w:styleId="1044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1045">
    <w:name w:val="page number"/>
    <w:rPr>
      <w:iCs/>
      <w:sz w:val="28"/>
    </w:rPr>
  </w:style>
  <w:style w:type="paragraph" w:styleId="1046">
    <w:name w:val="toc 4"/>
    <w:basedOn w:val="1017"/>
    <w:next w:val="1017"/>
    <w:semiHidden/>
    <w:pPr>
      <w:ind w:left="720"/>
    </w:pPr>
  </w:style>
  <w:style w:type="paragraph" w:styleId="1047" w:customStyle="1">
    <w:name w:val="Таблица (10) - осн. текст"/>
    <w:basedOn w:val="1017"/>
    <w:pPr>
      <w:ind w:firstLine="5"/>
      <w:jc w:val="left"/>
      <w:spacing w:after="60"/>
    </w:pPr>
    <w:rPr>
      <w:rFonts w:ascii="Arial" w:hAnsi="Arial"/>
      <w:sz w:val="20"/>
    </w:rPr>
  </w:style>
  <w:style w:type="paragraph" w:styleId="1048" w:customStyle="1">
    <w:name w:val="Таблица (10) - список нум. 1"/>
    <w:basedOn w:val="1047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1049">
    <w:name w:val="toc 1"/>
    <w:basedOn w:val="1017"/>
    <w:next w:val="1017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1050">
    <w:name w:val="toc 2"/>
    <w:basedOn w:val="1017"/>
    <w:next w:val="1017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1051">
    <w:name w:val="toc 3"/>
    <w:basedOn w:val="1017"/>
    <w:next w:val="1017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1052" w:customStyle="1">
    <w:name w:val="Текст примечания Знак"/>
    <w:link w:val="1053"/>
    <w:semiHidden/>
    <w:rPr>
      <w:color w:val="000000"/>
    </w:rPr>
  </w:style>
  <w:style w:type="paragraph" w:styleId="1053">
    <w:name w:val="annotation text"/>
    <w:basedOn w:val="1017"/>
    <w:link w:val="1052"/>
    <w:semiHidden/>
    <w:rPr>
      <w:sz w:val="20"/>
    </w:rPr>
  </w:style>
  <w:style w:type="paragraph" w:styleId="1054" w:customStyle="1">
    <w:name w:val="Список маркированный уровень 1"/>
    <w:basedOn w:val="1017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1055" w:customStyle="1">
    <w:name w:val="Список маркированный уровень 2"/>
    <w:basedOn w:val="1017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1056">
    <w:name w:val="Normal (Web)"/>
    <w:basedOn w:val="1017"/>
    <w:rPr>
      <w:szCs w:val="24"/>
    </w:rPr>
  </w:style>
  <w:style w:type="paragraph" w:styleId="1057" w:customStyle="1">
    <w:name w:val="Список нумерованный"/>
    <w:basedOn w:val="1017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1058" w:customStyle="1">
    <w:name w:val="Таблица (10) - сп.марк.ур.1"/>
    <w:basedOn w:val="1047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1059">
    <w:name w:val="footnote text"/>
    <w:basedOn w:val="1017"/>
    <w:semiHidden/>
    <w:rPr>
      <w:rFonts w:ascii="Arial" w:hAnsi="Arial"/>
      <w:sz w:val="20"/>
    </w:rPr>
  </w:style>
  <w:style w:type="character" w:styleId="1060">
    <w:name w:val="footnote reference"/>
    <w:rPr>
      <w:vertAlign w:val="superscript"/>
    </w:rPr>
  </w:style>
  <w:style w:type="paragraph" w:styleId="1061" w:customStyle="1">
    <w:name w:val="Таблица (10) - сп.марк.ур.2"/>
    <w:basedOn w:val="1047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1062" w:customStyle="1">
    <w:name w:val="Заголовок приложения"/>
    <w:basedOn w:val="1018"/>
    <w:next w:val="1017"/>
    <w:pPr>
      <w:numPr>
        <w:ilvl w:val="0"/>
        <w:numId w:val="0"/>
      </w:numPr>
      <w:jc w:val="right"/>
      <w:spacing w:before="0"/>
    </w:pPr>
  </w:style>
  <w:style w:type="paragraph" w:styleId="1063">
    <w:name w:val="toc 5"/>
    <w:basedOn w:val="1017"/>
    <w:next w:val="1017"/>
    <w:semiHidden/>
    <w:pPr>
      <w:ind w:left="960"/>
    </w:pPr>
  </w:style>
  <w:style w:type="paragraph" w:styleId="1064">
    <w:name w:val="toc 6"/>
    <w:basedOn w:val="1017"/>
    <w:next w:val="1017"/>
    <w:semiHidden/>
    <w:pPr>
      <w:ind w:left="1200"/>
    </w:pPr>
  </w:style>
  <w:style w:type="paragraph" w:styleId="1065">
    <w:name w:val="toc 7"/>
    <w:basedOn w:val="1017"/>
    <w:next w:val="1017"/>
    <w:semiHidden/>
    <w:pPr>
      <w:ind w:left="1440"/>
    </w:pPr>
  </w:style>
  <w:style w:type="paragraph" w:styleId="1066">
    <w:name w:val="toc 8"/>
    <w:basedOn w:val="1017"/>
    <w:next w:val="1017"/>
    <w:semiHidden/>
    <w:pPr>
      <w:ind w:left="1680"/>
    </w:pPr>
  </w:style>
  <w:style w:type="paragraph" w:styleId="1067">
    <w:name w:val="toc 9"/>
    <w:basedOn w:val="1017"/>
    <w:next w:val="1017"/>
    <w:semiHidden/>
    <w:pPr>
      <w:ind w:left="1920"/>
    </w:pPr>
  </w:style>
  <w:style w:type="character" w:styleId="1068">
    <w:name w:val="annotation reference"/>
    <w:semiHidden/>
    <w:rPr>
      <w:sz w:val="16"/>
      <w:szCs w:val="16"/>
    </w:rPr>
  </w:style>
  <w:style w:type="paragraph" w:styleId="1069" w:customStyle="1">
    <w:name w:val="Основной текст (центр/одинарный)"/>
    <w:basedOn w:val="1028"/>
    <w:link w:val="1070"/>
    <w:pPr>
      <w:ind w:firstLine="0"/>
      <w:jc w:val="center"/>
      <w:spacing w:before="120" w:after="120"/>
    </w:pPr>
  </w:style>
  <w:style w:type="character" w:styleId="1070" w:customStyle="1">
    <w:name w:val="Основной текст (центр/одинарный) Знак"/>
    <w:link w:val="1069"/>
    <w:rPr>
      <w:color w:val="000000"/>
      <w:sz w:val="28"/>
    </w:rPr>
  </w:style>
  <w:style w:type="paragraph" w:styleId="1071" w:customStyle="1">
    <w:name w:val="Список маркированный уровень 3"/>
    <w:basedOn w:val="1017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1072">
    <w:name w:val="Document Map"/>
    <w:basedOn w:val="1017"/>
    <w:semiHidden/>
    <w:pPr>
      <w:shd w:val="clear" w:color="auto" w:fill="000080"/>
    </w:pPr>
    <w:rPr>
      <w:rFonts w:ascii="Tahoma" w:hAnsi="Tahoma" w:cs="Tahoma"/>
    </w:rPr>
  </w:style>
  <w:style w:type="paragraph" w:styleId="1073" w:customStyle="1">
    <w:name w:val="Основной текст (без отступа)"/>
    <w:basedOn w:val="1028"/>
    <w:pPr>
      <w:ind w:firstLine="0"/>
      <w:spacing w:before="120" w:after="120"/>
    </w:pPr>
  </w:style>
  <w:style w:type="paragraph" w:styleId="1074">
    <w:name w:val="table of figures"/>
    <w:basedOn w:val="1028"/>
    <w:next w:val="1017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1075" w:customStyle="1">
    <w:name w:val="Рисунок - наименование"/>
    <w:basedOn w:val="1017"/>
    <w:pPr>
      <w:jc w:val="center"/>
      <w:spacing w:before="120" w:after="120"/>
    </w:pPr>
    <w:rPr>
      <w:bCs/>
      <w:sz w:val="28"/>
    </w:rPr>
  </w:style>
  <w:style w:type="paragraph" w:styleId="1076" w:customStyle="1">
    <w:name w:val="Таблица (8) - осн. текст"/>
    <w:basedOn w:val="1017"/>
    <w:pPr>
      <w:ind w:left="57" w:right="57"/>
      <w:jc w:val="left"/>
    </w:pPr>
    <w:rPr>
      <w:rFonts w:ascii="Arial" w:hAnsi="Arial" w:cs="Arial"/>
      <w:sz w:val="16"/>
    </w:rPr>
  </w:style>
  <w:style w:type="paragraph" w:styleId="1077">
    <w:name w:val="Balloon Text"/>
    <w:basedOn w:val="1017"/>
    <w:semiHidden/>
    <w:rPr>
      <w:rFonts w:ascii="Tahoma" w:hAnsi="Tahoma" w:cs="Tahoma"/>
      <w:sz w:val="16"/>
      <w:szCs w:val="16"/>
    </w:rPr>
  </w:style>
  <w:style w:type="paragraph" w:styleId="1078" w:customStyle="1">
    <w:name w:val="Титульный лист - текст"/>
    <w:link w:val="1108"/>
    <w:rPr>
      <w:sz w:val="28"/>
    </w:rPr>
  </w:style>
  <w:style w:type="paragraph" w:styleId="1079" w:customStyle="1">
    <w:name w:val="Список общий (ручная нумерация)"/>
    <w:basedOn w:val="1028"/>
    <w:next w:val="1017"/>
    <w:pPr>
      <w:ind w:left="851" w:hanging="284"/>
      <w:spacing w:before="120" w:after="120"/>
    </w:pPr>
  </w:style>
  <w:style w:type="paragraph" w:styleId="1080">
    <w:name w:val="annotation subject"/>
    <w:basedOn w:val="1053"/>
    <w:next w:val="1053"/>
    <w:semiHidden/>
    <w:rPr>
      <w:b/>
      <w:bCs/>
    </w:rPr>
  </w:style>
  <w:style w:type="paragraph" w:styleId="1081" w:customStyle="1">
    <w:name w:val="Нумерация"/>
    <w:basedOn w:val="1017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1082" w:customStyle="1">
    <w:name w:val="Пункт 3 уровня без нумерации"/>
    <w:basedOn w:val="1036"/>
    <w:pPr>
      <w:numPr>
        <w:ilvl w:val="0"/>
        <w:numId w:val="0"/>
      </w:numPr>
      <w:ind w:firstLine="567"/>
    </w:pPr>
  </w:style>
  <w:style w:type="paragraph" w:styleId="1083">
    <w:name w:val="index 1"/>
    <w:basedOn w:val="1017"/>
    <w:next w:val="1017"/>
    <w:semiHidden/>
    <w:pPr>
      <w:ind w:left="240" w:hanging="240"/>
    </w:pPr>
  </w:style>
  <w:style w:type="character" w:styleId="1084" w:customStyle="1">
    <w:name w:val="Нижний колонтитул Знак"/>
    <w:semiHidden/>
    <w:rPr>
      <w:sz w:val="24"/>
      <w:szCs w:val="24"/>
      <w:lang w:eastAsia="en-US"/>
    </w:rPr>
  </w:style>
  <w:style w:type="table" w:styleId="1085">
    <w:name w:val="Table Grid"/>
    <w:basedOn w:val="1026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1086" w:customStyle="1">
    <w:name w:val="Титльный лист - заголовок документа"/>
    <w:basedOn w:val="1017"/>
    <w:pPr>
      <w:jc w:val="center"/>
    </w:pPr>
    <w:rPr>
      <w:rFonts w:ascii="Arial" w:hAnsi="Arial"/>
      <w:b/>
      <w:sz w:val="36"/>
    </w:rPr>
  </w:style>
  <w:style w:type="paragraph" w:styleId="1087" w:customStyle="1">
    <w:name w:val="Титульный лист - название документа"/>
    <w:basedOn w:val="1086"/>
    <w:link w:val="1091"/>
    <w:rPr>
      <w:b w:val="0"/>
    </w:rPr>
  </w:style>
  <w:style w:type="paragraph" w:styleId="1088">
    <w:name w:val="endnote text"/>
    <w:basedOn w:val="1017"/>
    <w:link w:val="1089"/>
    <w:rPr>
      <w:sz w:val="20"/>
    </w:rPr>
  </w:style>
  <w:style w:type="character" w:styleId="1089" w:customStyle="1">
    <w:name w:val="Текст концевой сноски Знак"/>
    <w:link w:val="1088"/>
    <w:rPr>
      <w:color w:val="000000"/>
    </w:rPr>
  </w:style>
  <w:style w:type="character" w:styleId="1090">
    <w:name w:val="endnote reference"/>
    <w:rPr>
      <w:vertAlign w:val="superscript"/>
    </w:rPr>
  </w:style>
  <w:style w:type="character" w:styleId="1091" w:customStyle="1">
    <w:name w:val="Титульный лист - название документа Знак"/>
    <w:link w:val="1087"/>
    <w:rPr>
      <w:rFonts w:ascii="Arial" w:hAnsi="Arial"/>
      <w:color w:val="000000"/>
      <w:sz w:val="32"/>
    </w:rPr>
  </w:style>
  <w:style w:type="paragraph" w:styleId="1092" w:customStyle="1">
    <w:name w:val="Таблица (12) - Заголовки"/>
    <w:basedOn w:val="1073"/>
    <w:qFormat/>
    <w:pPr>
      <w:jc w:val="left"/>
      <w:spacing w:before="60" w:after="60"/>
    </w:pPr>
    <w:rPr>
      <w:rFonts w:ascii="Arial" w:hAnsi="Arial" w:cs="Arial"/>
      <w:b/>
    </w:rPr>
  </w:style>
  <w:style w:type="paragraph" w:styleId="1093" w:customStyle="1">
    <w:name w:val="Таблица (12) - осн. текст"/>
    <w:basedOn w:val="1073"/>
    <w:qFormat/>
    <w:pPr>
      <w:jc w:val="left"/>
      <w:spacing w:before="60" w:after="60"/>
    </w:pPr>
    <w:rPr>
      <w:sz w:val="24"/>
    </w:rPr>
  </w:style>
  <w:style w:type="table" w:styleId="1094" w:customStyle="1">
    <w:name w:val="Таблица (12)"/>
    <w:basedOn w:val="1026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1095">
    <w:name w:val="Table Elegant"/>
    <w:basedOn w:val="1026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1096">
    <w:name w:val="Table Web 1"/>
    <w:basedOn w:val="1026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1097">
    <w:name w:val="Light List"/>
    <w:basedOn w:val="1026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1098" w:customStyle="1">
    <w:name w:val="Выделение жирным шрифтом"/>
    <w:qFormat/>
    <w:rPr>
      <w:b/>
    </w:rPr>
  </w:style>
  <w:style w:type="character" w:styleId="1099" w:customStyle="1">
    <w:name w:val="Выделение курсивом"/>
    <w:qFormat/>
    <w:rPr>
      <w:i/>
    </w:rPr>
  </w:style>
  <w:style w:type="character" w:styleId="1100" w:customStyle="1">
    <w:name w:val="Выделение подчеркиванием"/>
    <w:qFormat/>
    <w:rPr>
      <w:u w:val="single"/>
    </w:rPr>
  </w:style>
  <w:style w:type="paragraph" w:styleId="1101">
    <w:name w:val="List Paragraph"/>
    <w:basedOn w:val="1017"/>
    <w:uiPriority w:val="34"/>
    <w:qFormat/>
    <w:pPr>
      <w:ind w:left="708"/>
    </w:pPr>
    <w:rPr>
      <w:sz w:val="28"/>
    </w:rPr>
  </w:style>
  <w:style w:type="character" w:styleId="1102" w:customStyle="1">
    <w:name w:val="Заголовок 2 Знак"/>
    <w:link w:val="1019"/>
    <w:rPr>
      <w:rFonts w:ascii="Arial" w:hAnsi="Arial"/>
      <w:b/>
      <w:bCs/>
      <w:color w:val="000000"/>
      <w:sz w:val="32"/>
    </w:rPr>
  </w:style>
  <w:style w:type="paragraph" w:styleId="1103">
    <w:name w:val="Caption"/>
    <w:basedOn w:val="1017"/>
    <w:next w:val="1017"/>
    <w:rPr>
      <w:bCs/>
      <w:sz w:val="28"/>
    </w:rPr>
  </w:style>
  <w:style w:type="character" w:styleId="1104" w:customStyle="1">
    <w:name w:val="я_Технический стиль 1 Знак"/>
    <w:link w:val="1105"/>
    <w:rPr>
      <w:rFonts w:ascii="Arial" w:hAnsi="Arial" w:cs="Arial"/>
      <w:b/>
      <w:bCs/>
      <w:color w:val="000000"/>
      <w:sz w:val="24"/>
      <w:szCs w:val="24"/>
    </w:rPr>
  </w:style>
  <w:style w:type="paragraph" w:styleId="1105" w:customStyle="1">
    <w:name w:val="я_Технический стиль 1"/>
    <w:basedOn w:val="1017"/>
    <w:link w:val="1104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1106" w:customStyle="1">
    <w:name w:val="я_Технический стиль 2"/>
    <w:basedOn w:val="1078"/>
    <w:link w:val="1109"/>
    <w:qFormat/>
    <w:rPr>
      <w:rFonts w:cs="Arial"/>
      <w:u w:val="single"/>
    </w:rPr>
  </w:style>
  <w:style w:type="paragraph" w:styleId="1107" w:customStyle="1">
    <w:name w:val="я_Технический стиль 3"/>
    <w:basedOn w:val="1078"/>
    <w:link w:val="1110"/>
    <w:qFormat/>
    <w:rPr>
      <w:rFonts w:ascii="Arial" w:hAnsi="Arial" w:cs="Arial"/>
      <w:b/>
    </w:rPr>
  </w:style>
  <w:style w:type="character" w:styleId="1108" w:customStyle="1">
    <w:name w:val="Титульный лист - текст Знак"/>
    <w:link w:val="1078"/>
    <w:rPr>
      <w:sz w:val="28"/>
    </w:rPr>
  </w:style>
  <w:style w:type="character" w:styleId="1109" w:customStyle="1">
    <w:name w:val="я_Технический стиль 2 Знак"/>
    <w:link w:val="1106"/>
    <w:rPr>
      <w:rFonts w:cs="Arial"/>
      <w:sz w:val="24"/>
      <w:u w:val="single"/>
    </w:rPr>
  </w:style>
  <w:style w:type="character" w:styleId="1110" w:customStyle="1">
    <w:name w:val="я_Технический стиль 3 Знак"/>
    <w:link w:val="1107"/>
    <w:rPr>
      <w:rFonts w:ascii="Arial" w:hAnsi="Arial" w:cs="Arial"/>
      <w:b/>
      <w:sz w:val="24"/>
    </w:rPr>
  </w:style>
  <w:style w:type="character" w:styleId="1111" w:customStyle="1">
    <w:name w:val="Пункт 2 уровня Знак"/>
    <w:link w:val="1035"/>
    <w:rPr>
      <w:rFonts w:ascii="Arial" w:hAnsi="Arial"/>
      <w:b w:val="0"/>
      <w:bCs/>
      <w:color w:val="000000"/>
      <w:sz w:val="28"/>
    </w:rPr>
  </w:style>
  <w:style w:type="character" w:styleId="1112" w:customStyle="1">
    <w:name w:val="просто  стиль"/>
    <w:rPr>
      <w:rFonts w:ascii="Times New Roman" w:hAnsi="Times New Roman"/>
      <w:color w:val="auto"/>
      <w:sz w:val="28"/>
      <w:shd w:val="clear" w:color="auto" w:fill="ffffff"/>
    </w:rPr>
  </w:style>
  <w:style w:type="paragraph" w:styleId="1113" w:customStyle="1">
    <w:name w:val="Список нумерованный (цифра с точкой)"/>
    <w:basedOn w:val="1017"/>
    <w:qFormat/>
    <w:pPr>
      <w:numPr>
        <w:ilvl w:val="0"/>
        <w:numId w:val="59"/>
      </w:numPr>
      <w:ind w:left="426" w:hanging="426"/>
      <w:spacing w:before="120" w:after="120"/>
    </w:pPr>
    <w:rPr>
      <w:sz w:val="28"/>
      <w:szCs w:val="28"/>
    </w:rPr>
  </w:style>
  <w:style w:type="character" w:styleId="1114" w:customStyle="1">
    <w:name w:val="Выделение надстрочными символами"/>
    <w:qFormat/>
    <w:rPr>
      <w:vertAlign w:val="superscript"/>
    </w:rPr>
  </w:style>
  <w:style w:type="paragraph" w:styleId="1115" w:customStyle="1">
    <w:name w:val="я_технический стиль &quot;перечень&quot;"/>
    <w:basedOn w:val="1017"/>
    <w:qFormat/>
    <w:pPr>
      <w:spacing w:before="60" w:after="60"/>
      <w:tabs>
        <w:tab w:val="right" w:pos="9627" w:leader="dot"/>
      </w:tabs>
    </w:pPr>
    <w:rPr>
      <w:sz w:val="28"/>
    </w:rPr>
  </w:style>
  <w:style w:type="paragraph" w:styleId="1116">
    <w:name w:val="index 2"/>
    <w:basedOn w:val="1017"/>
    <w:next w:val="1017"/>
    <w:pPr>
      <w:ind w:left="480" w:hanging="240"/>
    </w:pPr>
  </w:style>
  <w:style w:type="paragraph" w:styleId="1117" w:customStyle="1">
    <w:name w:val="TableText"/>
    <w:basedOn w:val="1017"/>
    <w:pPr>
      <w:ind w:firstLine="567"/>
      <w:keepLines/>
      <w:spacing w:line="288" w:lineRule="auto"/>
    </w:pPr>
    <w:rPr>
      <w:color w:val="auto"/>
      <w:sz w:val="28"/>
    </w:rPr>
  </w:style>
  <w:style w:type="character" w:styleId="1118">
    <w:name w:val="Subtle Emphasis"/>
    <w:uiPriority w:val="19"/>
    <w:qFormat/>
    <w:rPr>
      <w:i/>
      <w:iCs/>
      <w:color w:val="808080"/>
    </w:rPr>
  </w:style>
  <w:style w:type="paragraph" w:styleId="1119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image" Target="media/image1.emf"/><Relationship Id="rId18" Type="http://schemas.openxmlformats.org/officeDocument/2006/relationships/oleObject" Target="embeddings/oleObject1.vsd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8FC16-ED87-4C4C-9088-6B4575C62A67}"/>
</file>

<file path=customXml/itemProps2.xml><?xml version="1.0" encoding="utf-8"?>
<ds:datastoreItem xmlns:ds="http://schemas.openxmlformats.org/officeDocument/2006/customXml" ds:itemID="{7C064473-2133-4576-BC78-77338D7B36FD}"/>
</file>

<file path=customXml/itemProps3.xml><?xml version="1.0" encoding="utf-8"?>
<ds:datastoreItem xmlns:ds="http://schemas.openxmlformats.org/officeDocument/2006/customXml" ds:itemID="{2FB1D711-4936-4227-8C12-EBAF58715510}"/>
</file>

<file path=customXml/itemProps4.xml><?xml version="1.0" encoding="utf-8"?>
<ds:datastoreItem xmlns:ds="http://schemas.openxmlformats.org/officeDocument/2006/customXml" ds:itemID="{237B63BE-615E-4485-A74C-EF7CB91CB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ФК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revision>4</cp:revision>
  <dcterms:created xsi:type="dcterms:W3CDTF">2022-09-20T09:28:00Z</dcterms:created>
  <dcterms:modified xsi:type="dcterms:W3CDTF">2023-12-04T11:03:20Z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